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2B64A2">
      <w:pPr>
        <w:pStyle w:val="141"/>
      </w:pPr>
      <w:r>
        <w:rPr>
          <w:rFonts w:ascii="Times New Roman"/>
        </w:rPr>
        <w:t>ICS</w:t>
      </w:r>
      <w:r>
        <w:rPr>
          <w:rFonts w:hAnsi="黑体"/>
        </w:rPr>
        <w:t> </w:t>
      </w:r>
      <w:bookmarkStart w:id="0" w:name="ICS"/>
      <w:r>
        <w:fldChar w:fldCharType="begin">
          <w:ffData>
            <w:name w:val="ICS"/>
            <w:enabled/>
            <w:calcOnExit w:val="0"/>
            <w:helpText w:type="text" w:val="请输入正确的ICS号："/>
            <w:textInput>
              <w:default w:val="点击此处添加ICS号"/>
            </w:textInput>
          </w:ffData>
        </w:fldChar>
      </w:r>
      <w:r>
        <w:instrText xml:space="preserve"> FORMTEXT </w:instrText>
      </w:r>
      <w:r>
        <w:fldChar w:fldCharType="separate"/>
      </w:r>
      <w:r>
        <w:t>     </w:t>
      </w:r>
      <w:r>
        <w:fldChar w:fldCharType="end"/>
      </w:r>
      <w:bookmarkEnd w:id="0"/>
    </w:p>
    <w:p w14:paraId="421AD799">
      <w:pPr>
        <w:pStyle w:val="141"/>
      </w:pPr>
      <w:bookmarkStart w:id="1" w:name="WXFLH"/>
      <w:r>
        <w:fldChar w:fldCharType="begin">
          <w:ffData>
            <w:name w:val="WXFLH"/>
            <w:enabled/>
            <w:calcOnExit w:val="0"/>
            <w:helpText w:type="text" w:val="请输入中国标准文献分类号："/>
            <w:textInput>
              <w:default w:val="点击此处添加中国标准文献分类号"/>
            </w:textInput>
          </w:ffData>
        </w:fldChar>
      </w:r>
      <w:r>
        <w:instrText xml:space="preserve"> FORMTEXT </w:instrText>
      </w:r>
      <w:r>
        <w:fldChar w:fldCharType="separate"/>
      </w:r>
      <w:r>
        <w:rPr>
          <w:rFonts w:hint="eastAsia"/>
        </w:rPr>
        <w:t>点击此处添加中国标准文献分类号</w:t>
      </w:r>
      <w:r>
        <w:fldChar w:fldCharType="end"/>
      </w:r>
      <w:bookmarkEnd w:id="1"/>
    </w:p>
    <w:tbl>
      <w:tblPr>
        <w:tblStyle w:val="34"/>
        <w:tblW w:w="985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854"/>
      </w:tblGrid>
      <w:tr w14:paraId="2E7DB5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4" w:type="dxa"/>
            <w:tcBorders>
              <w:top w:val="nil"/>
              <w:left w:val="nil"/>
              <w:bottom w:val="nil"/>
              <w:right w:val="nil"/>
            </w:tcBorders>
            <w:vAlign w:val="top"/>
          </w:tcPr>
          <w:p w14:paraId="51C34846">
            <w:pPr>
              <w:pStyle w:val="141"/>
            </w:pPr>
            <w:r>
              <mc:AlternateContent>
                <mc:Choice Requires="wps">
                  <w:drawing>
                    <wp:anchor distT="0" distB="0" distL="114300" distR="114300" simplePos="0" relativeHeight="251662336" behindDoc="1" locked="0" layoutInCell="1" allowOverlap="1">
                      <wp:simplePos x="0" y="0"/>
                      <wp:positionH relativeFrom="column">
                        <wp:posOffset>-66675</wp:posOffset>
                      </wp:positionH>
                      <wp:positionV relativeFrom="paragraph">
                        <wp:posOffset>0</wp:posOffset>
                      </wp:positionV>
                      <wp:extent cx="866775" cy="198120"/>
                      <wp:effectExtent l="0" t="0" r="9525" b="5080"/>
                      <wp:wrapNone/>
                      <wp:docPr id="4" name="BAH"/>
                      <wp:cNvGraphicFramePr/>
                      <a:graphic xmlns:a="http://schemas.openxmlformats.org/drawingml/2006/main">
                        <a:graphicData uri="http://schemas.microsoft.com/office/word/2010/wordprocessingShape">
                          <wps:wsp>
                            <wps:cNvSpPr/>
                            <wps:spPr>
                              <a:xfrm>
                                <a:off x="0" y="0"/>
                                <a:ext cx="866775" cy="198120"/>
                              </a:xfrm>
                              <a:prstGeom prst="rect">
                                <a:avLst/>
                              </a:prstGeom>
                              <a:solidFill>
                                <a:srgbClr val="FFFFFF"/>
                              </a:solidFill>
                              <a:ln>
                                <a:noFill/>
                              </a:ln>
                            </wps:spPr>
                            <wps:bodyPr wrap="square" upright="1"/>
                          </wps:wsp>
                        </a:graphicData>
                      </a:graphic>
                    </wp:anchor>
                  </w:drawing>
                </mc:Choice>
                <mc:Fallback>
                  <w:pict>
                    <v:rect id="BAH" o:spid="_x0000_s1026" o:spt="1" style="position:absolute;left:0pt;margin-left:-5.25pt;margin-top:0pt;height:15.6pt;width:68.25pt;z-index:-251654144;mso-width-relative:page;mso-height-relative:page;" fillcolor="#FFFFFF" filled="t" stroked="f" coordsize="21600,21600" o:gfxdata="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yK4v7NUA&#10;AAAHAQAADwAAAAAAAAABACAAAAAiAAAAZHJzL2Rvd25yZXYueG1sUEsBAhQAFAAAAAgAh07iQLEz&#10;6MywAQAAZwMAAA4AAAAAAAAAAQAgAAAAJAEAAGRycy9lMm9Eb2MueG1sUEsFBgAAAAAGAAYAWQEA&#10;AEYFAAAAAA==&#10;">
                      <v:fill on="t" focussize="0,0"/>
                      <v:stroke on="f"/>
                      <v:imagedata o:title=""/>
                      <o:lock v:ext="edit" aspectratio="f"/>
                    </v:rect>
                  </w:pict>
                </mc:Fallback>
              </mc:AlternateContent>
            </w:r>
            <w:r>
              <w:fldChar w:fldCharType="begin">
                <w:ffData>
                  <w:name w:val="BAH"/>
                  <w:enabled/>
                  <w:calcOnExit w:val="0"/>
                  <w:textInput/>
                </w:ffData>
              </w:fldChar>
            </w:r>
            <w:bookmarkStart w:id="2" w:name="BAH"/>
            <w:r>
              <w:instrText xml:space="preserve"> FORMTEXT </w:instrText>
            </w:r>
            <w:r>
              <w:fldChar w:fldCharType="separate"/>
            </w:r>
            <w:r>
              <w:t>     </w:t>
            </w:r>
            <w:r>
              <w:fldChar w:fldCharType="end"/>
            </w:r>
            <w:bookmarkEnd w:id="2"/>
          </w:p>
        </w:tc>
      </w:tr>
    </w:tbl>
    <w:p w14:paraId="05451988">
      <w:pPr>
        <w:pStyle w:val="87"/>
      </w:pPr>
      <w:r>
        <w:t>DB</w:t>
      </w:r>
      <w:bookmarkStart w:id="3" w:name="c3"/>
      <w:r>
        <w:fldChar w:fldCharType="begin">
          <w:ffData>
            <w:name w:val="c3"/>
            <w:enabled/>
            <w:calcOnExit w:val="0"/>
            <w:entryMacro w:val="ShowHelp16"/>
            <w:textInput>
              <w:maxLength w:val="2"/>
            </w:textInput>
          </w:ffData>
        </w:fldChar>
      </w:r>
      <w:r>
        <w:instrText xml:space="preserve"> FORMTEXT </w:instrText>
      </w:r>
      <w:r>
        <w:fldChar w:fldCharType="separate"/>
      </w:r>
      <w:r>
        <w:t>  </w:t>
      </w:r>
      <w:r>
        <w:fldChar w:fldCharType="end"/>
      </w:r>
      <w:bookmarkEnd w:id="3"/>
    </w:p>
    <w:p w14:paraId="5A8AA770">
      <w:pPr>
        <w:pStyle w:val="114"/>
      </w:pPr>
      <w:bookmarkStart w:id="4" w:name="c4"/>
      <w:r>
        <w:fldChar w:fldCharType="begin">
          <w:ffData>
            <w:name w:val="c4"/>
            <w:enabled/>
            <w:calcOnExit w:val="0"/>
            <w:entryMacro w:val="showhelp12"/>
            <w:textInput/>
          </w:ffData>
        </w:fldChar>
      </w:r>
      <w:r>
        <w:instrText xml:space="preserve"> FORMTEXT </w:instrText>
      </w:r>
      <w:r>
        <w:fldChar w:fldCharType="separate"/>
      </w:r>
      <w:r>
        <w:rPr>
          <w:rFonts w:hint="eastAsia"/>
        </w:rPr>
        <w:t>宁夏回族自治区</w:t>
      </w:r>
      <w:r>
        <w:fldChar w:fldCharType="end"/>
      </w:r>
      <w:bookmarkEnd w:id="4"/>
      <w:r>
        <w:rPr>
          <w:rFonts w:hint="eastAsia"/>
        </w:rPr>
        <w:t>地方标准</w:t>
      </w:r>
    </w:p>
    <w:p w14:paraId="1E4934AB">
      <w:pPr>
        <w:pStyle w:val="131"/>
        <w:rPr>
          <w:rFonts w:hAnsi="黑体"/>
        </w:rPr>
      </w:pPr>
      <w:r>
        <w:rPr>
          <w:rFonts w:ascii="Times New Roman"/>
        </w:rPr>
        <w:t xml:space="preserve">DB </w:t>
      </w:r>
      <w:bookmarkStart w:id="5" w:name="StdNo0"/>
      <w:r>
        <w:rPr>
          <w:rFonts w:hAnsi="黑体"/>
        </w:rPr>
        <w:fldChar w:fldCharType="begin">
          <w:ffData>
            <w:name w:val="StdNo0"/>
            <w:enabled/>
            <w:calcOnExit w:val="0"/>
            <w:textInput>
              <w:default w:val="XX"/>
              <w:maxLength w:val="2"/>
            </w:textInput>
          </w:ffData>
        </w:fldChar>
      </w:r>
      <w:r>
        <w:rPr>
          <w:rFonts w:hAnsi="黑体"/>
        </w:rPr>
        <w:instrText xml:space="preserve"> FORMTEXT </w:instrText>
      </w:r>
      <w:r>
        <w:rPr>
          <w:rFonts w:hAnsi="黑体"/>
        </w:rPr>
        <w:fldChar w:fldCharType="separate"/>
      </w:r>
      <w:r>
        <w:rPr>
          <w:rFonts w:hAnsi="黑体"/>
        </w:rPr>
        <w:t>XX</w:t>
      </w:r>
      <w:r>
        <w:rPr>
          <w:rFonts w:hAnsi="黑体"/>
        </w:rPr>
        <w:fldChar w:fldCharType="end"/>
      </w:r>
      <w:bookmarkEnd w:id="5"/>
      <w:r>
        <w:rPr>
          <w:rFonts w:hAnsi="黑体"/>
        </w:rPr>
        <w:t xml:space="preserve">/ </w:t>
      </w:r>
      <w:bookmarkStart w:id="6" w:name="StdNo1"/>
      <w:r>
        <w:rPr>
          <w:rFonts w:hAnsi="黑体"/>
        </w:rPr>
        <w:fldChar w:fldCharType="begin">
          <w:ffData>
            <w:name w:val="StdNo1"/>
            <w:enabled/>
            <w:calcOnExit w:val="0"/>
            <w:textInput>
              <w:default w:val="XXXXX"/>
            </w:textInput>
          </w:ffData>
        </w:fldChar>
      </w:r>
      <w:r>
        <w:rPr>
          <w:rFonts w:hAnsi="黑体"/>
        </w:rPr>
        <w:instrText xml:space="preserve"> FORMTEXT </w:instrText>
      </w:r>
      <w:r>
        <w:rPr>
          <w:rFonts w:hAnsi="黑体"/>
        </w:rPr>
        <w:fldChar w:fldCharType="separate"/>
      </w:r>
      <w:r>
        <w:rPr>
          <w:rFonts w:hAnsi="黑体"/>
        </w:rPr>
        <w:t>XXXXX</w:t>
      </w:r>
      <w:r>
        <w:rPr>
          <w:rFonts w:hAnsi="黑体"/>
        </w:rPr>
        <w:fldChar w:fldCharType="end"/>
      </w:r>
      <w:bookmarkEnd w:id="6"/>
      <w:r>
        <w:rPr>
          <w:rFonts w:hAnsi="黑体"/>
        </w:rPr>
        <w:t>—</w:t>
      </w:r>
      <w:bookmarkStart w:id="7" w:name="StdNo2"/>
      <w:r>
        <w:rPr>
          <w:rFonts w:hAnsi="黑体"/>
        </w:rPr>
        <w:fldChar w:fldCharType="begin">
          <w:ffData>
            <w:name w:val="StdNo2"/>
            <w:enabled/>
            <w:calcOnExit w:val="0"/>
            <w:textInput>
              <w:default w:val="XXXX"/>
              <w:maxLength w:val="4"/>
            </w:textInput>
          </w:ffData>
        </w:fldChar>
      </w:r>
      <w:r>
        <w:rPr>
          <w:rFonts w:hAnsi="黑体"/>
        </w:rPr>
        <w:instrText xml:space="preserve"> FORMTEXT </w:instrText>
      </w:r>
      <w:r>
        <w:rPr>
          <w:rFonts w:hAnsi="黑体"/>
        </w:rPr>
        <w:fldChar w:fldCharType="separate"/>
      </w:r>
      <w:r>
        <w:rPr>
          <w:rFonts w:hAnsi="黑体"/>
        </w:rPr>
        <w:t>XXXX</w:t>
      </w:r>
      <w:r>
        <w:rPr>
          <w:rFonts w:hAnsi="黑体"/>
        </w:rPr>
        <w:fldChar w:fldCharType="end"/>
      </w:r>
      <w:bookmarkEnd w:id="7"/>
    </w:p>
    <w:tbl>
      <w:tblPr>
        <w:tblStyle w:val="34"/>
        <w:tblW w:w="93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356"/>
      </w:tblGrid>
      <w:tr w14:paraId="1DFFB4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vAlign w:val="top"/>
          </w:tcPr>
          <w:p w14:paraId="3FEB9D81">
            <w:pPr>
              <w:pStyle w:val="89"/>
            </w:pPr>
            <w:bookmarkStart w:id="8" w:name="DT"/>
            <w:r>
              <mc:AlternateContent>
                <mc:Choice Requires="wps">
                  <w:drawing>
                    <wp:anchor distT="0" distB="0" distL="114300" distR="114300" simplePos="0" relativeHeight="251659264" behindDoc="1" locked="0" layoutInCell="1" allowOverlap="1">
                      <wp:simplePos x="0" y="0"/>
                      <wp:positionH relativeFrom="column">
                        <wp:posOffset>4734560</wp:posOffset>
                      </wp:positionH>
                      <wp:positionV relativeFrom="paragraph">
                        <wp:posOffset>34290</wp:posOffset>
                      </wp:positionV>
                      <wp:extent cx="1143000" cy="228600"/>
                      <wp:effectExtent l="0" t="0" r="0" b="0"/>
                      <wp:wrapNone/>
                      <wp:docPr id="1" name="DT"/>
                      <wp:cNvGraphicFramePr/>
                      <a:graphic xmlns:a="http://schemas.openxmlformats.org/drawingml/2006/main">
                        <a:graphicData uri="http://schemas.microsoft.com/office/word/2010/wordprocessingShape">
                          <wps:wsp>
                            <wps:cNvSpPr/>
                            <wps:spPr>
                              <a:xfrm>
                                <a:off x="0" y="0"/>
                                <a:ext cx="1143000" cy="228600"/>
                              </a:xfrm>
                              <a:prstGeom prst="rect">
                                <a:avLst/>
                              </a:prstGeom>
                              <a:solidFill>
                                <a:srgbClr val="FFFFFF"/>
                              </a:solidFill>
                              <a:ln>
                                <a:noFill/>
                              </a:ln>
                            </wps:spPr>
                            <wps:bodyPr wrap="square" upright="1"/>
                          </wps:wsp>
                        </a:graphicData>
                      </a:graphic>
                    </wp:anchor>
                  </w:drawing>
                </mc:Choice>
                <mc:Fallback>
                  <w:pict>
                    <v:rect id="DT" o:spid="_x0000_s1026" o:spt="1" style="position:absolute;left:0pt;margin-left:372.8pt;margin-top:2.7pt;height:18pt;width:90pt;z-index:-251657216;mso-width-relative:page;mso-height-relative:page;" fillcolor="#FFFFFF" filled="t" stroked="f" coordsize="21600,21600" o:gfxdata="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B5g8svWAAAACAEA&#10;AA8AAAAAAAAAAQAgAAAAIgAAAGRycy9kb3ducmV2LnhtbFBLAQIUABQAAAAIAIdO4kD2n1EKqgEA&#10;AGcDAAAOAAAAAAAAAAEAIAAAACUBAABkcnMvZTJvRG9jLnhtbFBLBQYAAAAABgAGAFkBAABBBQAA&#10;AAA=&#10;">
                      <v:fill on="t" focussize="0,0"/>
                      <v:stroke on="f"/>
                      <v:imagedata o:title=""/>
                      <o:lock v:ext="edit" aspectratio="f"/>
                    </v:rect>
                  </w:pict>
                </mc:Fallback>
              </mc:AlternateContent>
            </w:r>
            <w:r>
              <w:fldChar w:fldCharType="begin">
                <w:ffData>
                  <w:name w:val="DT"/>
                  <w:enabled/>
                  <w:calcOnExit w:val="0"/>
                  <w:entryMacro w:val="ShowHelp4"/>
                  <w:textInput/>
                </w:ffData>
              </w:fldChar>
            </w:r>
            <w:r>
              <w:instrText xml:space="preserve"> FORMTEXT </w:instrText>
            </w:r>
            <w:r>
              <w:fldChar w:fldCharType="separate"/>
            </w:r>
            <w:r>
              <w:t>     </w:t>
            </w:r>
            <w:r>
              <w:fldChar w:fldCharType="end"/>
            </w:r>
            <w:bookmarkEnd w:id="8"/>
          </w:p>
        </w:tc>
      </w:tr>
    </w:tbl>
    <w:p w14:paraId="4AA9F9AC">
      <w:pPr>
        <w:pStyle w:val="131"/>
        <w:rPr>
          <w:rFonts w:hAnsi="黑体"/>
        </w:rPr>
      </w:pPr>
    </w:p>
    <w:p w14:paraId="4361AA08">
      <w:pPr>
        <w:pStyle w:val="131"/>
        <w:rPr>
          <w:rFonts w:hAnsi="黑体"/>
        </w:rPr>
      </w:pPr>
    </w:p>
    <w:p w14:paraId="00667C40">
      <w:pPr>
        <w:pStyle w:val="77"/>
      </w:pPr>
      <w:bookmarkStart w:id="9" w:name="StdName"/>
      <w:r>
        <w:fldChar w:fldCharType="begin">
          <w:ffData>
            <w:name w:val="StdName"/>
            <w:enabled/>
            <w:calcOnExit w:val="0"/>
            <w:textInput>
              <w:default w:val="点击此处添加标准名称"/>
            </w:textInput>
          </w:ffData>
        </w:fldChar>
      </w:r>
      <w:r>
        <w:instrText xml:space="preserve"> FORMTEXT </w:instrText>
      </w:r>
      <w:r>
        <w:fldChar w:fldCharType="separate"/>
      </w:r>
      <w:r>
        <w:rPr>
          <w:rFonts w:hint="eastAsia"/>
        </w:rPr>
        <w:t>盐碱地治理水利工程技术规</w:t>
      </w:r>
      <w:r>
        <w:rPr>
          <w:rFonts w:hint="eastAsia"/>
          <w:lang w:eastAsia="zh-CN"/>
        </w:rPr>
        <w:t>程</w:t>
      </w:r>
      <w:r>
        <w:rPr>
          <w:rFonts w:hint="eastAsia"/>
          <w:lang w:val="en-US" w:eastAsia="zh-CN"/>
        </w:rPr>
        <w:t xml:space="preserve"> </w:t>
      </w:r>
      <w:r>
        <w:rPr>
          <w:rFonts w:hint="eastAsia"/>
        </w:rPr>
        <w:t>第</w:t>
      </w:r>
      <w:r>
        <w:rPr>
          <w:rFonts w:hint="eastAsia"/>
          <w:lang w:val="en-US" w:eastAsia="zh-CN"/>
        </w:rPr>
        <w:t>1</w:t>
      </w:r>
      <w:r>
        <w:rPr>
          <w:rFonts w:hint="eastAsia"/>
        </w:rPr>
        <w:t>部分</w:t>
      </w:r>
    </w:p>
    <w:p w14:paraId="0045966D">
      <w:pPr>
        <w:pStyle w:val="77"/>
      </w:pPr>
      <w:r>
        <w:rPr>
          <w:rFonts w:hint="eastAsia"/>
        </w:rPr>
        <w:t>暗管排水</w:t>
      </w:r>
      <w:r>
        <w:fldChar w:fldCharType="end"/>
      </w:r>
      <w:bookmarkEnd w:id="9"/>
    </w:p>
    <w:p w14:paraId="08FE3DD7">
      <w:pPr>
        <w:pStyle w:val="82"/>
      </w:pPr>
      <w:bookmarkStart w:id="10" w:name="StdEnglishName"/>
      <w:r>
        <w:fldChar w:fldCharType="begin">
          <w:ffData>
            <w:name w:val="StdEnglishName"/>
            <w:enabled/>
            <w:calcOnExit w:val="0"/>
            <w:textInput>
              <w:default w:val="点击此处添加标准英文译名"/>
            </w:textInput>
          </w:ffData>
        </w:fldChar>
      </w:r>
      <w:r>
        <w:instrText xml:space="preserve"> FORMTEXT </w:instrText>
      </w:r>
      <w:r>
        <w:fldChar w:fldCharType="separate"/>
      </w:r>
      <w:r>
        <w:t>     </w:t>
      </w:r>
      <w:r>
        <w:fldChar w:fldCharType="end"/>
      </w:r>
      <w:bookmarkEnd w:id="10"/>
    </w:p>
    <w:p w14:paraId="0F5D07F3">
      <w:pPr>
        <w:pStyle w:val="81"/>
      </w:pPr>
      <w:bookmarkStart w:id="11" w:name="YZBS"/>
      <w:r>
        <w:fldChar w:fldCharType="begin">
          <w:ffData>
            <w:name w:val="YZBS"/>
            <w:enabled/>
            <w:calcOnExit w:val="0"/>
            <w:textInput>
              <w:default w:val="点击此处添加与国际标准一致性程度的标识"/>
            </w:textInput>
          </w:ffData>
        </w:fldChar>
      </w:r>
      <w:r>
        <w:instrText xml:space="preserve"> FORMTEXT </w:instrText>
      </w:r>
      <w:r>
        <w:fldChar w:fldCharType="separate"/>
      </w:r>
      <w:r>
        <w:rPr>
          <w:rFonts w:hint="eastAsia"/>
        </w:rPr>
        <w:t>点击此处添加与国际标准一致性程度的标识</w:t>
      </w:r>
      <w:r>
        <w:fldChar w:fldCharType="end"/>
      </w:r>
      <w:bookmarkEnd w:id="11"/>
    </w:p>
    <w:tbl>
      <w:tblPr>
        <w:tblStyle w:val="34"/>
        <w:tblW w:w="985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855"/>
      </w:tblGrid>
      <w:tr w14:paraId="717E5E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vAlign w:val="top"/>
          </w:tcPr>
          <w:p w14:paraId="7C055780">
            <w:pPr>
              <w:pStyle w:val="80"/>
            </w:pPr>
            <w:r>
              <mc:AlternateContent>
                <mc:Choice Requires="wps">
                  <w:drawing>
                    <wp:anchor distT="0" distB="0" distL="114300" distR="114300" simplePos="0" relativeHeight="251661312" behindDoc="1" locked="1" layoutInCell="1" allowOverlap="1">
                      <wp:simplePos x="0" y="0"/>
                      <wp:positionH relativeFrom="column">
                        <wp:posOffset>2200910</wp:posOffset>
                      </wp:positionH>
                      <wp:positionV relativeFrom="paragraph">
                        <wp:posOffset>573405</wp:posOffset>
                      </wp:positionV>
                      <wp:extent cx="1905000" cy="254000"/>
                      <wp:effectExtent l="0" t="0" r="0" b="0"/>
                      <wp:wrapNone/>
                      <wp:docPr id="3" name="RQ"/>
                      <wp:cNvGraphicFramePr/>
                      <a:graphic xmlns:a="http://schemas.openxmlformats.org/drawingml/2006/main">
                        <a:graphicData uri="http://schemas.microsoft.com/office/word/2010/wordprocessingShape">
                          <wps:wsp>
                            <wps:cNvSpPr/>
                            <wps:spPr>
                              <a:xfrm>
                                <a:off x="0" y="0"/>
                                <a:ext cx="1905000" cy="254000"/>
                              </a:xfrm>
                              <a:prstGeom prst="rect">
                                <a:avLst/>
                              </a:prstGeom>
                              <a:solidFill>
                                <a:srgbClr val="FFFFFF"/>
                              </a:solidFill>
                              <a:ln>
                                <a:noFill/>
                              </a:ln>
                            </wps:spPr>
                            <wps:bodyPr wrap="square" upright="1"/>
                          </wps:wsp>
                        </a:graphicData>
                      </a:graphic>
                    </wp:anchor>
                  </w:drawing>
                </mc:Choice>
                <mc:Fallback>
                  <w:pict>
                    <v:rect id="RQ" o:spid="_x0000_s1026" o:spt="1" style="position:absolute;left:0pt;margin-left:173.3pt;margin-top:45.15pt;height:20pt;width:150pt;z-index:-251655168;mso-width-relative:page;mso-height-relative:page;" fillcolor="#FFFFFF" filled="t" stroked="f" coordsize="21600,21600" o:gfxdata="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BYmuktUAAAAKAQAA&#10;DwAAAAAAAAABACAAAAAiAAAAZHJzL2Rvd25yZXYueG1sUEsBAhQAFAAAAAgAh07iQI1ieZWqAQAA&#10;ZwMAAA4AAAAAAAAAAQAgAAAAJAEAAGRycy9lMm9Eb2MueG1sUEsFBgAAAAAGAAYAWQEAAEAFAAAA&#10;AA==&#10;">
                      <v:fill on="t" focussize="0,0"/>
                      <v:stroke on="f"/>
                      <v:imagedata o:title=""/>
                      <o:lock v:ext="edit" aspectratio="f"/>
                      <w10:anchorlock/>
                    </v:rect>
                  </w:pict>
                </mc:Fallback>
              </mc:AlternateContent>
            </w:r>
            <w:r>
              <mc:AlternateContent>
                <mc:Choice Requires="wps">
                  <w:drawing>
                    <wp:anchor distT="0" distB="0" distL="114300" distR="114300" simplePos="0" relativeHeight="251660288" behindDoc="1" locked="0" layoutInCell="1" allowOverlap="1">
                      <wp:simplePos x="0" y="0"/>
                      <wp:positionH relativeFrom="column">
                        <wp:posOffset>2454910</wp:posOffset>
                      </wp:positionH>
                      <wp:positionV relativeFrom="paragraph">
                        <wp:posOffset>255905</wp:posOffset>
                      </wp:positionV>
                      <wp:extent cx="1270000" cy="304800"/>
                      <wp:effectExtent l="0" t="0" r="0" b="0"/>
                      <wp:wrapNone/>
                      <wp:docPr id="2" name="LB"/>
                      <wp:cNvGraphicFramePr/>
                      <a:graphic xmlns:a="http://schemas.openxmlformats.org/drawingml/2006/main">
                        <a:graphicData uri="http://schemas.microsoft.com/office/word/2010/wordprocessingShape">
                          <wps:wsp>
                            <wps:cNvSpPr/>
                            <wps:spPr>
                              <a:xfrm>
                                <a:off x="0" y="0"/>
                                <a:ext cx="1270000" cy="304800"/>
                              </a:xfrm>
                              <a:prstGeom prst="rect">
                                <a:avLst/>
                              </a:prstGeom>
                              <a:solidFill>
                                <a:srgbClr val="FFFFFF"/>
                              </a:solidFill>
                              <a:ln>
                                <a:noFill/>
                              </a:ln>
                            </wps:spPr>
                            <wps:bodyPr wrap="square" upright="1"/>
                          </wps:wsp>
                        </a:graphicData>
                      </a:graphic>
                    </wp:anchor>
                  </w:drawing>
                </mc:Choice>
                <mc:Fallback>
                  <w:pict>
                    <v:rect id="LB" o:spid="_x0000_s1026" o:spt="1" style="position:absolute;left:0pt;margin-left:193.3pt;margin-top:20.15pt;height:24pt;width:100pt;z-index:-251656192;mso-width-relative:page;mso-height-relative:page;" fillcolor="#FFFFFF" filled="t" stroked="f" coordsize="21600,21600" o:gfxdata="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A+GL5dYAAAAJAQAA&#10;DwAAAAAAAAABACAAAAAiAAAAZHJzL2Rvd25yZXYueG1sUEsBAhQAFAAAAAgAh07iQBXfBLqpAQAA&#10;ZwMAAA4AAAAAAAAAAQAgAAAAJQEAAGRycy9lMm9Eb2MueG1sUEsFBgAAAAAGAAYAWQEAAEAFAAAA&#10;AA==&#10;">
                      <v:fill on="t" focussize="0,0"/>
                      <v:stroke on="f"/>
                      <v:imagedata o:title=""/>
                      <o:lock v:ext="edit" aspectratio="f"/>
                    </v:rect>
                  </w:pict>
                </mc:Fallback>
              </mc:AlternateContent>
            </w:r>
            <w:r>
              <w:fldChar w:fldCharType="begin">
                <w:ffData>
                  <w:name w:val="LB"/>
                  <w:enabled/>
                  <w:calcOnExit w:val="0"/>
                  <w:ddList>
                    <w:listEntry w:val="文稿版次选择"/>
                    <w:listEntry w:val="（工作组讨论稿）"/>
                    <w:listEntry w:val="（征求意见稿）"/>
                    <w:listEntry w:val="（送审讨论稿）"/>
                    <w:listEntry w:val="（送审稿）"/>
                    <w:listEntry w:val="（报批稿）"/>
                  </w:ddList>
                </w:ffData>
              </w:fldChar>
            </w:r>
            <w:bookmarkStart w:id="12" w:name="LB"/>
            <w:r>
              <w:instrText xml:space="preserve"> FORMDROPDOWN </w:instrText>
            </w:r>
            <w:r>
              <w:fldChar w:fldCharType="separate"/>
            </w:r>
            <w:r>
              <w:fldChar w:fldCharType="end"/>
            </w:r>
            <w:bookmarkEnd w:id="12"/>
          </w:p>
        </w:tc>
      </w:tr>
      <w:tr w14:paraId="66068F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vAlign w:val="top"/>
          </w:tcPr>
          <w:p w14:paraId="5EF617FA">
            <w:pPr>
              <w:pStyle w:val="110"/>
            </w:pPr>
            <w:bookmarkStart w:id="13" w:name="WCRQ"/>
            <w:r>
              <w:fldChar w:fldCharType="begin">
                <w:ffData>
                  <w:name w:val="WCRQ"/>
                  <w:enabled/>
                  <w:calcOnExit w:val="0"/>
                  <w:textInput/>
                </w:ffData>
              </w:fldChar>
            </w:r>
            <w:r>
              <w:instrText xml:space="preserve"> FORMTEXT </w:instrText>
            </w:r>
            <w:r>
              <w:fldChar w:fldCharType="separate"/>
            </w:r>
            <w:r>
              <w:rPr>
                <w:lang w:eastAsia="zh-CN"/>
              </w:rPr>
              <w:t>     </w:t>
            </w:r>
            <w:r>
              <w:fldChar w:fldCharType="end"/>
            </w:r>
            <w:bookmarkEnd w:id="13"/>
          </w:p>
        </w:tc>
      </w:tr>
    </w:tbl>
    <w:p w14:paraId="70017A98">
      <w:pPr>
        <w:pStyle w:val="72"/>
      </w:pPr>
      <w:bookmarkStart w:id="14" w:name="FY"/>
      <w:r>
        <w:rPr>
          <w:rFonts w:ascii="黑体"/>
        </w:rPr>
        <w:fldChar w:fldCharType="begin">
          <w:ffData>
            <w:name w:val="FY"/>
            <w:enabled/>
            <w:calcOnExit w:val="0"/>
            <w:entryMacro w:val="ShowHelp8"/>
            <w:textInput>
              <w:default w:val="XXXX"/>
              <w:maxLength w:val="4"/>
            </w:textInput>
          </w:ffData>
        </w:fldChar>
      </w:r>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FM"/>
            <w:enabled/>
            <w:calcOnExit w:val="0"/>
            <w:entryMacro w:val="ShowHelp8"/>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r>
        <w:t xml:space="preserve"> </w:t>
      </w:r>
      <w:r>
        <w:rPr>
          <w:rFonts w:ascii="黑体"/>
        </w:rPr>
        <w:t>-</w:t>
      </w:r>
      <w:r>
        <w:t xml:space="preserve"> </w:t>
      </w:r>
      <w:bookmarkStart w:id="15" w:name="FD"/>
      <w:r>
        <w:rPr>
          <w:rFonts w:ascii="黑体"/>
        </w:rPr>
        <w:fldChar w:fldCharType="begin">
          <w:ffData>
            <w:name w:val="FD"/>
            <w:enabled/>
            <w:calcOnExit w:val="0"/>
            <w:entryMacro w:val="ShowHelp8"/>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rPr>
          <w:rFonts w:hint="eastAsia"/>
        </w:rPr>
        <w:t>发布</w:t>
      </w:r>
      <w:r>
        <mc:AlternateContent>
          <mc:Choice Requires="wps">
            <w:drawing>
              <wp:anchor distT="0" distB="0" distL="114300" distR="114300" simplePos="0" relativeHeight="251663360" behindDoc="0" locked="1" layoutInCell="1" allowOverlap="1">
                <wp:simplePos x="0" y="0"/>
                <wp:positionH relativeFrom="column">
                  <wp:posOffset>-635</wp:posOffset>
                </wp:positionH>
                <wp:positionV relativeFrom="page">
                  <wp:posOffset>9251950</wp:posOffset>
                </wp:positionV>
                <wp:extent cx="6120130" cy="0"/>
                <wp:effectExtent l="0" t="4445" r="0" b="5080"/>
                <wp:wrapNone/>
                <wp:docPr id="5" name="直线 10"/>
                <wp:cNvGraphicFramePr/>
                <a:graphic xmlns:a="http://schemas.openxmlformats.org/drawingml/2006/main">
                  <a:graphicData uri="http://schemas.microsoft.com/office/word/2010/wordprocessingShape">
                    <wps:wsp>
                      <wps:cNvCnPr/>
                      <wps:spPr>
                        <a:xfrm>
                          <a:off x="0" y="0"/>
                          <a:ext cx="612013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10" o:spid="_x0000_s1026" o:spt="20" style="position:absolute;left:0pt;margin-left:-0.05pt;margin-top:728.5pt;height:0pt;width:481.9pt;mso-position-vertical-relative:page;z-index:251663360;mso-width-relative:page;mso-height-relative:page;" filled="f" stroked="t" coordsize="21600,21600" o:gfxdata="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CWHazzWAAAA&#10;CwEAAA8AAAAAAAAAAQAgAAAAIgAAAGRycy9kb3ducmV2LnhtbFBLAQIUABQAAAAIAIdO4kA3tMMG&#10;5gEAANwDAAAOAAAAAAAAAAEAIAAAACUBAABkcnMvZTJvRG9jLnhtbFBLBQYAAAAABgAGAFkBAAB9&#10;BQAAAAA=&#10;">
                <v:fill on="f" focussize="0,0"/>
                <v:stroke color="#000000" joinstyle="round"/>
                <v:imagedata o:title=""/>
                <o:lock v:ext="edit" aspectratio="f"/>
                <w10:anchorlock/>
              </v:line>
            </w:pict>
          </mc:Fallback>
        </mc:AlternateContent>
      </w:r>
    </w:p>
    <w:p w14:paraId="033302EE">
      <w:pPr>
        <w:pStyle w:val="129"/>
      </w:pPr>
      <w:bookmarkStart w:id="16" w:name="SY"/>
      <w:r>
        <w:rPr>
          <w:rFonts w:ascii="黑体"/>
        </w:rPr>
        <w:fldChar w:fldCharType="begin">
          <w:ffData>
            <w:name w:val="SY"/>
            <w:enabled/>
            <w:calcOnExit w:val="0"/>
            <w:entryMacro w:val="ShowHelp9"/>
            <w:textInput>
              <w:default w:val="XXXX"/>
              <w:maxLength w:val="4"/>
            </w:textInput>
          </w:ffData>
        </w:fldChar>
      </w:r>
      <w:r>
        <w:rPr>
          <w:rFonts w:ascii="黑体"/>
        </w:rPr>
        <w:instrText xml:space="preserve"> FORMTEXT </w:instrText>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bookmarkStart w:id="17" w:name="SM"/>
      <w:r>
        <w:rPr>
          <w:rFonts w:ascii="黑体"/>
        </w:rPr>
        <w:fldChar w:fldCharType="begin">
          <w:ffData>
            <w:name w:val="SM"/>
            <w:enabled/>
            <w:calcOnExit w:val="0"/>
            <w:entryMacro w:val="ShowHelp9"/>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bookmarkStart w:id="18" w:name="SD"/>
      <w:r>
        <w:rPr>
          <w:rFonts w:ascii="黑体"/>
        </w:rPr>
        <w:fldChar w:fldCharType="begin">
          <w:ffData>
            <w:name w:val="SD"/>
            <w:enabled/>
            <w:calcOnExit w:val="0"/>
            <w:entryMacro w:val="ShowHelp9"/>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rPr>
          <w:rFonts w:hint="eastAsia"/>
        </w:rPr>
        <w:t>实施</w:t>
      </w:r>
    </w:p>
    <w:p w14:paraId="106FF99C">
      <w:pPr>
        <w:pStyle w:val="113"/>
      </w:pPr>
      <w:bookmarkStart w:id="19" w:name="fm"/>
      <w:r>
        <w:fldChar w:fldCharType="begin">
          <w:ffData>
            <w:name w:val="fm"/>
            <w:enabled/>
            <w:calcOnExit w:val="0"/>
            <w:textInput/>
          </w:ffData>
        </w:fldChar>
      </w:r>
      <w:r>
        <w:instrText xml:space="preserve"> FORMTEXT </w:instrText>
      </w:r>
      <w:r>
        <w:fldChar w:fldCharType="separate"/>
      </w:r>
      <w:r>
        <w:t>     </w:t>
      </w:r>
      <w:r>
        <w:fldChar w:fldCharType="end"/>
      </w:r>
      <w:bookmarkEnd w:id="19"/>
      <w:r>
        <w:rPr>
          <w:rFonts w:hAnsi="黑体"/>
        </w:rPr>
        <w:t>   </w:t>
      </w:r>
      <w:r>
        <w:rPr>
          <w:rStyle w:val="51"/>
          <w:rFonts w:hint="eastAsia"/>
        </w:rPr>
        <w:t>发布</w:t>
      </w:r>
    </w:p>
    <w:p w14:paraId="1E0BF16E">
      <w:pPr>
        <w:pStyle w:val="25"/>
        <w:sectPr>
          <w:headerReference r:id="rId5" w:type="first"/>
          <w:footerReference r:id="rId8" w:type="first"/>
          <w:headerReference r:id="rId3" w:type="default"/>
          <w:footerReference r:id="rId6" w:type="default"/>
          <w:headerReference r:id="rId4" w:type="even"/>
          <w:footerReference r:id="rId7" w:type="even"/>
          <w:pgSz w:w="11906" w:h="16838"/>
          <w:pgMar w:top="567" w:right="850" w:bottom="1134" w:left="1418" w:header="0" w:footer="0" w:gutter="0"/>
          <w:pgNumType w:start="1"/>
          <w:cols w:space="720" w:num="1"/>
          <w:docGrid w:type="lines" w:linePitch="312" w:charSpace="0"/>
        </w:sectPr>
      </w:pPr>
      <w:r>
        <mc:AlternateContent>
          <mc:Choice Requires="wps">
            <w:drawing>
              <wp:anchor distT="0" distB="0" distL="114300" distR="114300" simplePos="0" relativeHeight="251664384" behindDoc="0" locked="0" layoutInCell="1" allowOverlap="1">
                <wp:simplePos x="0" y="0"/>
                <wp:positionH relativeFrom="column">
                  <wp:posOffset>-635</wp:posOffset>
                </wp:positionH>
                <wp:positionV relativeFrom="paragraph">
                  <wp:posOffset>2339975</wp:posOffset>
                </wp:positionV>
                <wp:extent cx="6120130" cy="0"/>
                <wp:effectExtent l="0" t="4445" r="0" b="5080"/>
                <wp:wrapNone/>
                <wp:docPr id="6" name="直线 11"/>
                <wp:cNvGraphicFramePr/>
                <a:graphic xmlns:a="http://schemas.openxmlformats.org/drawingml/2006/main">
                  <a:graphicData uri="http://schemas.microsoft.com/office/word/2010/wordprocessingShape">
                    <wps:wsp>
                      <wps:cNvCnPr/>
                      <wps:spPr>
                        <a:xfrm>
                          <a:off x="0" y="0"/>
                          <a:ext cx="612013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11" o:spid="_x0000_s1026" o:spt="20" style="position:absolute;left:0pt;margin-left:-0.05pt;margin-top:184.25pt;height:0pt;width:481.9pt;z-index:251664384;mso-width-relative:page;mso-height-relative:page;" filled="f" stroked="t" coordsize="21600,21600" o:gfxdata="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QkHiX9cA&#10;AAAJAQAADwAAAAAAAAABACAAAAAiAAAAZHJzL2Rvd25yZXYueG1sUEsBAhQAFAAAAAgAh07iQAEO&#10;p5LnAQAA3AMAAA4AAAAAAAAAAQAgAAAAJgEAAGRycy9lMm9Eb2MueG1sUEsFBgAAAAAGAAYAWQEA&#10;AH8FAAAAAA==&#10;">
                <v:fill on="f" focussize="0,0"/>
                <v:stroke color="#000000" joinstyle="round"/>
                <v:imagedata o:title=""/>
                <o:lock v:ext="edit" aspectratio="f"/>
              </v:line>
            </w:pict>
          </mc:Fallback>
        </mc:AlternateContent>
      </w:r>
    </w:p>
    <w:p w14:paraId="563C8865">
      <w:pPr>
        <w:pStyle w:val="109"/>
        <w:rPr>
          <w:rFonts w:hint="eastAsia"/>
        </w:rPr>
      </w:pPr>
      <w:bookmarkStart w:id="20" w:name="_Toc520709285"/>
      <w:bookmarkStart w:id="21" w:name="_Toc520823438"/>
      <w:bookmarkStart w:id="22" w:name="_Toc299889736"/>
      <w:r>
        <w:rPr>
          <w:rFonts w:hint="eastAsia"/>
        </w:rPr>
        <w:t>目</w:t>
      </w:r>
      <w:bookmarkStart w:id="23" w:name="BKML"/>
      <w:r>
        <w:rPr>
          <w:rFonts w:hint="eastAsia" w:ascii="MS Mincho" w:hAnsi="MS Mincho" w:eastAsia="MS Mincho" w:cs="MS Mincho"/>
        </w:rPr>
        <w:t>  </w:t>
      </w:r>
      <w:r>
        <w:rPr>
          <w:rFonts w:hint="eastAsia"/>
        </w:rPr>
        <w:t>次</w:t>
      </w:r>
      <w:bookmarkEnd w:id="23"/>
    </w:p>
    <w:p w14:paraId="1F1B53EF">
      <w:pPr>
        <w:pStyle w:val="21"/>
        <w:spacing w:before="78" w:after="78"/>
        <w:rPr>
          <w:rFonts w:ascii="Calibri"/>
          <w:szCs w:val="22"/>
        </w:rPr>
      </w:pPr>
      <w:r>
        <w:fldChar w:fldCharType="begin" w:fldLock="1"/>
      </w:r>
      <w:r>
        <w:instrText xml:space="preserve"> </w:instrText>
      </w:r>
      <w:r>
        <w:rPr>
          <w:rFonts w:hint="eastAsia"/>
        </w:rPr>
        <w:instrText xml:space="preserve">TOC \h \z \t"前言、引言标题,1,参考文献、索引标题,1,章标题,1,参考文献,1,附录标识,1,一级条标题, 3,二级条标题, 4,附录章标题, 3,附录一级条标题, 4" \* MERGEFORMAT</w:instrText>
      </w:r>
      <w:r>
        <w:instrText xml:space="preserve"> </w:instrText>
      </w:r>
      <w:r>
        <w:fldChar w:fldCharType="separate"/>
      </w:r>
      <w:r>
        <w:fldChar w:fldCharType="begin" w:fldLock="1"/>
      </w:r>
      <w:r>
        <w:rPr>
          <w:rStyle w:val="41"/>
        </w:rPr>
        <w:instrText xml:space="preserve"> </w:instrText>
      </w:r>
      <w:r>
        <w:instrText xml:space="preserve">HYPERLINK \l "_Toc522140466"</w:instrText>
      </w:r>
      <w:r>
        <w:rPr>
          <w:rStyle w:val="41"/>
        </w:rPr>
        <w:instrText xml:space="preserve"> </w:instrText>
      </w:r>
      <w:r>
        <w:fldChar w:fldCharType="separate"/>
      </w:r>
      <w:r>
        <w:rPr>
          <w:rStyle w:val="41"/>
          <w:rFonts w:hint="eastAsia"/>
        </w:rPr>
        <w:t>前言</w:t>
      </w:r>
      <w:r>
        <w:tab/>
      </w:r>
      <w:r>
        <w:rPr>
          <w:rFonts w:hint="eastAsia" w:hAnsi="宋体"/>
        </w:rPr>
        <w:t>Ⅲ</w:t>
      </w:r>
      <w:r>
        <w:fldChar w:fldCharType="end"/>
      </w:r>
    </w:p>
    <w:p w14:paraId="3DE88C61">
      <w:pPr>
        <w:pStyle w:val="21"/>
        <w:spacing w:before="78" w:after="78"/>
        <w:rPr>
          <w:rFonts w:ascii="Calibri"/>
          <w:szCs w:val="22"/>
        </w:rPr>
      </w:pPr>
      <w:r>
        <w:fldChar w:fldCharType="begin" w:fldLock="1"/>
      </w:r>
      <w:r>
        <w:rPr>
          <w:rStyle w:val="41"/>
        </w:rPr>
        <w:instrText xml:space="preserve"> </w:instrText>
      </w:r>
      <w:r>
        <w:instrText xml:space="preserve">HYPERLINK \l "_Toc522140467"</w:instrText>
      </w:r>
      <w:r>
        <w:rPr>
          <w:rStyle w:val="41"/>
        </w:rPr>
        <w:instrText xml:space="preserve"> </w:instrText>
      </w:r>
      <w:r>
        <w:fldChar w:fldCharType="separate"/>
      </w:r>
      <w:r>
        <w:rPr>
          <w:rStyle w:val="41"/>
        </w:rPr>
        <w:t>1</w:t>
      </w:r>
      <w:r>
        <w:rPr>
          <w:rStyle w:val="41"/>
          <w:rFonts w:hint="eastAsia"/>
        </w:rPr>
        <w:t>　</w:t>
      </w:r>
      <w:r>
        <w:rPr>
          <w:rStyle w:val="41"/>
          <w:rFonts w:hint="eastAsia"/>
          <w:lang w:eastAsia="zh-CN"/>
        </w:rPr>
        <w:t>范围</w:t>
      </w:r>
      <w:r>
        <w:tab/>
      </w:r>
      <w:r>
        <w:fldChar w:fldCharType="begin" w:fldLock="1"/>
      </w:r>
      <w:r>
        <w:instrText xml:space="preserve"> PAGEREF _Toc522140467 \h </w:instrText>
      </w:r>
      <w:r>
        <w:fldChar w:fldCharType="separate"/>
      </w:r>
      <w:r>
        <w:t>1</w:t>
      </w:r>
      <w:r>
        <w:fldChar w:fldCharType="end"/>
      </w:r>
      <w:r>
        <w:fldChar w:fldCharType="end"/>
      </w:r>
    </w:p>
    <w:p w14:paraId="6CE40BD1">
      <w:pPr>
        <w:pStyle w:val="21"/>
        <w:spacing w:before="78" w:after="78"/>
        <w:rPr>
          <w:rFonts w:ascii="Calibri"/>
          <w:szCs w:val="22"/>
        </w:rPr>
      </w:pPr>
      <w:r>
        <w:fldChar w:fldCharType="begin" w:fldLock="1"/>
      </w:r>
      <w:r>
        <w:rPr>
          <w:rStyle w:val="41"/>
        </w:rPr>
        <w:instrText xml:space="preserve"> </w:instrText>
      </w:r>
      <w:r>
        <w:instrText xml:space="preserve">HYPERLINK \l "_Toc522140468"</w:instrText>
      </w:r>
      <w:r>
        <w:rPr>
          <w:rStyle w:val="41"/>
        </w:rPr>
        <w:instrText xml:space="preserve"> </w:instrText>
      </w:r>
      <w:r>
        <w:fldChar w:fldCharType="separate"/>
      </w:r>
      <w:r>
        <w:rPr>
          <w:rStyle w:val="41"/>
        </w:rPr>
        <w:t>2</w:t>
      </w:r>
      <w:r>
        <w:rPr>
          <w:rStyle w:val="41"/>
          <w:rFonts w:hint="eastAsia"/>
        </w:rPr>
        <w:t>　规范性引用文件</w:t>
      </w:r>
      <w:r>
        <w:tab/>
      </w:r>
      <w:r>
        <w:rPr>
          <w:rFonts w:hint="eastAsia"/>
          <w:lang w:val="en-US" w:eastAsia="zh-CN"/>
        </w:rPr>
        <w:t>1</w:t>
      </w:r>
      <w:r>
        <w:fldChar w:fldCharType="end"/>
      </w:r>
    </w:p>
    <w:p w14:paraId="57FAFD0D">
      <w:pPr>
        <w:pStyle w:val="21"/>
        <w:spacing w:before="78" w:after="78"/>
        <w:rPr>
          <w:rFonts w:ascii="Calibri"/>
          <w:szCs w:val="22"/>
        </w:rPr>
      </w:pPr>
      <w:r>
        <w:fldChar w:fldCharType="begin" w:fldLock="1"/>
      </w:r>
      <w:r>
        <w:rPr>
          <w:rStyle w:val="41"/>
        </w:rPr>
        <w:instrText xml:space="preserve"> </w:instrText>
      </w:r>
      <w:r>
        <w:instrText xml:space="preserve">HYPERLINK \l "_Toc522140469"</w:instrText>
      </w:r>
      <w:r>
        <w:rPr>
          <w:rStyle w:val="41"/>
        </w:rPr>
        <w:instrText xml:space="preserve"> </w:instrText>
      </w:r>
      <w:r>
        <w:fldChar w:fldCharType="separate"/>
      </w:r>
      <w:r>
        <w:rPr>
          <w:rStyle w:val="41"/>
        </w:rPr>
        <w:t>3</w:t>
      </w:r>
      <w:r>
        <w:rPr>
          <w:rStyle w:val="41"/>
          <w:rFonts w:hint="eastAsia"/>
        </w:rPr>
        <w:t>　术语和定义</w:t>
      </w:r>
      <w:r>
        <w:tab/>
      </w:r>
      <w:r>
        <w:fldChar w:fldCharType="begin" w:fldLock="1"/>
      </w:r>
      <w:r>
        <w:instrText xml:space="preserve"> PAGEREF _Toc522140469 \h </w:instrText>
      </w:r>
      <w:r>
        <w:fldChar w:fldCharType="separate"/>
      </w:r>
      <w:r>
        <w:t>2</w:t>
      </w:r>
      <w:r>
        <w:fldChar w:fldCharType="end"/>
      </w:r>
      <w:r>
        <w:fldChar w:fldCharType="end"/>
      </w:r>
    </w:p>
    <w:p w14:paraId="433E8341">
      <w:pPr>
        <w:pStyle w:val="21"/>
        <w:spacing w:before="78" w:after="78"/>
        <w:rPr>
          <w:rFonts w:ascii="Calibri"/>
          <w:szCs w:val="22"/>
        </w:rPr>
      </w:pPr>
      <w:r>
        <w:fldChar w:fldCharType="begin" w:fldLock="1"/>
      </w:r>
      <w:r>
        <w:rPr>
          <w:rStyle w:val="41"/>
        </w:rPr>
        <w:instrText xml:space="preserve"> </w:instrText>
      </w:r>
      <w:r>
        <w:instrText xml:space="preserve">HYPERLINK \l "_Toc522140486"</w:instrText>
      </w:r>
      <w:r>
        <w:rPr>
          <w:rStyle w:val="41"/>
        </w:rPr>
        <w:instrText xml:space="preserve"> </w:instrText>
      </w:r>
      <w:r>
        <w:fldChar w:fldCharType="separate"/>
      </w:r>
      <w:r>
        <w:rPr>
          <w:rStyle w:val="41"/>
        </w:rPr>
        <w:t>4</w:t>
      </w:r>
      <w:r>
        <w:rPr>
          <w:rStyle w:val="41"/>
          <w:rFonts w:hint="eastAsia"/>
        </w:rPr>
        <w:t>　</w:t>
      </w:r>
      <w:r>
        <w:rPr>
          <w:rStyle w:val="41"/>
          <w:rFonts w:hint="eastAsia"/>
          <w:lang w:eastAsia="zh-CN"/>
        </w:rPr>
        <w:t>土壤调查与</w:t>
      </w:r>
      <w:r>
        <w:rPr>
          <w:rStyle w:val="41"/>
          <w:rFonts w:hint="eastAsia"/>
        </w:rPr>
        <w:t>基础数据</w:t>
      </w:r>
      <w:r>
        <w:rPr>
          <w:rStyle w:val="41"/>
          <w:rFonts w:hint="eastAsia"/>
          <w:lang w:eastAsia="zh-CN"/>
        </w:rPr>
        <w:t>收集</w:t>
      </w:r>
      <w:r>
        <w:tab/>
      </w:r>
      <w:r>
        <w:rPr>
          <w:rFonts w:hint="eastAsia"/>
          <w:lang w:val="en-US" w:eastAsia="zh-CN"/>
        </w:rPr>
        <w:t>3</w:t>
      </w:r>
      <w:r>
        <w:fldChar w:fldCharType="end"/>
      </w:r>
    </w:p>
    <w:p w14:paraId="00B411F5">
      <w:pPr>
        <w:pStyle w:val="13"/>
        <w:ind w:firstLine="210"/>
        <w:rPr>
          <w:rFonts w:ascii="Calibri"/>
          <w:szCs w:val="22"/>
        </w:rPr>
      </w:pPr>
      <w:r>
        <w:fldChar w:fldCharType="begin" w:fldLock="1"/>
      </w:r>
      <w:r>
        <w:rPr>
          <w:rStyle w:val="41"/>
        </w:rPr>
        <w:instrText xml:space="preserve"> </w:instrText>
      </w:r>
      <w:r>
        <w:instrText xml:space="preserve">HYPERLINK \l "_Toc522140487"</w:instrText>
      </w:r>
      <w:r>
        <w:rPr>
          <w:rStyle w:val="41"/>
        </w:rPr>
        <w:instrText xml:space="preserve"> </w:instrText>
      </w:r>
      <w:r>
        <w:fldChar w:fldCharType="separate"/>
      </w:r>
      <w:r>
        <w:rPr>
          <w:rStyle w:val="41"/>
        </w:rPr>
        <w:t>4.1</w:t>
      </w:r>
      <w:r>
        <w:rPr>
          <w:rStyle w:val="41"/>
          <w:rFonts w:hint="eastAsia"/>
        </w:rPr>
        <w:t>　一般规定</w:t>
      </w:r>
      <w:r>
        <w:tab/>
      </w:r>
      <w:r>
        <w:rPr>
          <w:rFonts w:hint="eastAsia"/>
          <w:lang w:val="en-US" w:eastAsia="zh-CN"/>
        </w:rPr>
        <w:t>3</w:t>
      </w:r>
      <w:r>
        <w:fldChar w:fldCharType="end"/>
      </w:r>
    </w:p>
    <w:p w14:paraId="74F590AC">
      <w:pPr>
        <w:pStyle w:val="13"/>
        <w:ind w:firstLine="210"/>
        <w:rPr>
          <w:rFonts w:ascii="Calibri"/>
          <w:szCs w:val="22"/>
        </w:rPr>
      </w:pPr>
      <w:r>
        <w:fldChar w:fldCharType="begin" w:fldLock="1"/>
      </w:r>
      <w:r>
        <w:rPr>
          <w:rStyle w:val="41"/>
        </w:rPr>
        <w:instrText xml:space="preserve"> </w:instrText>
      </w:r>
      <w:r>
        <w:instrText xml:space="preserve">HYPERLINK \l "_Toc522140488"</w:instrText>
      </w:r>
      <w:r>
        <w:rPr>
          <w:rStyle w:val="41"/>
        </w:rPr>
        <w:instrText xml:space="preserve"> </w:instrText>
      </w:r>
      <w:r>
        <w:fldChar w:fldCharType="separate"/>
      </w:r>
      <w:r>
        <w:rPr>
          <w:rStyle w:val="41"/>
        </w:rPr>
        <w:t>4.2</w:t>
      </w:r>
      <w:r>
        <w:rPr>
          <w:rStyle w:val="41"/>
          <w:rFonts w:hint="eastAsia"/>
        </w:rPr>
        <w:t>　地形地貌与水文地质测绘</w:t>
      </w:r>
      <w:r>
        <w:tab/>
      </w:r>
      <w:r>
        <w:rPr>
          <w:rFonts w:hint="eastAsia"/>
          <w:lang w:val="en-US" w:eastAsia="zh-CN"/>
        </w:rPr>
        <w:t>3</w:t>
      </w:r>
      <w:r>
        <w:fldChar w:fldCharType="end"/>
      </w:r>
    </w:p>
    <w:p w14:paraId="66A6431C">
      <w:pPr>
        <w:pStyle w:val="13"/>
        <w:ind w:firstLine="210"/>
      </w:pPr>
      <w:r>
        <w:fldChar w:fldCharType="begin" w:fldLock="1"/>
      </w:r>
      <w:r>
        <w:rPr>
          <w:rStyle w:val="41"/>
        </w:rPr>
        <w:instrText xml:space="preserve"> </w:instrText>
      </w:r>
      <w:r>
        <w:instrText xml:space="preserve">HYPERLINK \l "_Toc522140489"</w:instrText>
      </w:r>
      <w:r>
        <w:rPr>
          <w:rStyle w:val="41"/>
        </w:rPr>
        <w:instrText xml:space="preserve"> </w:instrText>
      </w:r>
      <w:r>
        <w:fldChar w:fldCharType="separate"/>
      </w:r>
      <w:r>
        <w:rPr>
          <w:rStyle w:val="41"/>
        </w:rPr>
        <w:t>4.3</w:t>
      </w:r>
      <w:r>
        <w:rPr>
          <w:rStyle w:val="41"/>
          <w:rFonts w:hint="eastAsia"/>
        </w:rPr>
        <w:t>　土壤调查</w:t>
      </w:r>
      <w:r>
        <w:tab/>
      </w:r>
      <w:r>
        <w:rPr>
          <w:rFonts w:hint="eastAsia"/>
          <w:lang w:val="en-US" w:eastAsia="zh-CN"/>
        </w:rPr>
        <w:t>4</w:t>
      </w:r>
      <w:r>
        <w:fldChar w:fldCharType="end"/>
      </w:r>
    </w:p>
    <w:p w14:paraId="19178987">
      <w:pPr>
        <w:pStyle w:val="13"/>
        <w:ind w:firstLine="210"/>
      </w:pPr>
      <w:r>
        <w:fldChar w:fldCharType="begin" w:fldLock="1"/>
      </w:r>
      <w:r>
        <w:rPr>
          <w:rStyle w:val="41"/>
        </w:rPr>
        <w:instrText xml:space="preserve"> </w:instrText>
      </w:r>
      <w:r>
        <w:instrText xml:space="preserve">HYPERLINK \l "_Toc522140489"</w:instrText>
      </w:r>
      <w:r>
        <w:rPr>
          <w:rStyle w:val="41"/>
        </w:rPr>
        <w:instrText xml:space="preserve"> </w:instrText>
      </w:r>
      <w:r>
        <w:fldChar w:fldCharType="separate"/>
      </w:r>
      <w:r>
        <w:rPr>
          <w:rStyle w:val="41"/>
        </w:rPr>
        <w:t>4.3</w:t>
      </w:r>
      <w:r>
        <w:rPr>
          <w:rStyle w:val="41"/>
          <w:rFonts w:hint="eastAsia"/>
        </w:rPr>
        <w:t>　土壤调查</w:t>
      </w:r>
      <w:r>
        <w:rPr>
          <w:rStyle w:val="41"/>
          <w:rFonts w:hint="eastAsia"/>
          <w:lang w:val="en-US" w:eastAsia="zh-CN"/>
        </w:rPr>
        <w:t>基础数据收集与测定</w:t>
      </w:r>
      <w:r>
        <w:tab/>
      </w:r>
      <w:r>
        <w:rPr>
          <w:rFonts w:hint="eastAsia"/>
          <w:lang w:val="en-US" w:eastAsia="zh-CN"/>
        </w:rPr>
        <w:t>4</w:t>
      </w:r>
      <w:r>
        <w:fldChar w:fldCharType="end"/>
      </w:r>
    </w:p>
    <w:p w14:paraId="2745F29A">
      <w:pPr>
        <w:pStyle w:val="21"/>
        <w:spacing w:before="78" w:after="78"/>
        <w:rPr>
          <w:rFonts w:ascii="Calibri"/>
          <w:szCs w:val="22"/>
        </w:rPr>
      </w:pPr>
      <w:r>
        <w:fldChar w:fldCharType="begin" w:fldLock="1"/>
      </w:r>
      <w:r>
        <w:rPr>
          <w:rStyle w:val="41"/>
        </w:rPr>
        <w:instrText xml:space="preserve"> </w:instrText>
      </w:r>
      <w:r>
        <w:instrText xml:space="preserve">HYPERLINK \l "_Toc522140490"</w:instrText>
      </w:r>
      <w:r>
        <w:rPr>
          <w:rStyle w:val="41"/>
        </w:rPr>
        <w:instrText xml:space="preserve"> </w:instrText>
      </w:r>
      <w:r>
        <w:fldChar w:fldCharType="separate"/>
      </w:r>
      <w:r>
        <w:rPr>
          <w:rStyle w:val="41"/>
        </w:rPr>
        <w:t>5</w:t>
      </w:r>
      <w:r>
        <w:rPr>
          <w:rStyle w:val="41"/>
          <w:rFonts w:hint="eastAsia"/>
        </w:rPr>
        <w:t>　工程规划</w:t>
      </w:r>
      <w:r>
        <w:tab/>
      </w:r>
      <w:r>
        <w:rPr>
          <w:rFonts w:hint="eastAsia"/>
          <w:lang w:val="en-US" w:eastAsia="zh-CN"/>
        </w:rPr>
        <w:t>5</w:t>
      </w:r>
      <w:r>
        <w:fldChar w:fldCharType="end"/>
      </w:r>
    </w:p>
    <w:p w14:paraId="0DB4A98F">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"_Toc522140491"</w:instrText>
      </w:r>
      <w:r>
        <w:rPr>
          <w:rStyle w:val="41"/>
        </w:rPr>
        <w:instrText xml:space="preserve"> </w:instrText>
      </w:r>
      <w:r>
        <w:fldChar w:fldCharType="separate"/>
      </w:r>
      <w:r>
        <w:rPr>
          <w:rStyle w:val="41"/>
        </w:rPr>
        <w:t>5.1</w:t>
      </w:r>
      <w:r>
        <w:rPr>
          <w:rStyle w:val="41"/>
          <w:rFonts w:hint="eastAsia"/>
        </w:rPr>
        <w:t>　</w:t>
      </w:r>
      <w:r>
        <w:rPr>
          <w:rStyle w:val="41"/>
          <w:rFonts w:hint="eastAsia"/>
          <w:lang w:val="en-US" w:eastAsia="zh-CN"/>
        </w:rPr>
        <w:t>基本规定与要求</w:t>
      </w:r>
      <w:r>
        <w:tab/>
      </w:r>
      <w:r>
        <w:fldChar w:fldCharType="end"/>
      </w:r>
      <w:r>
        <w:rPr>
          <w:rFonts w:hint="eastAsia"/>
          <w:lang w:val="en-US" w:eastAsia="zh-CN"/>
        </w:rPr>
        <w:t>5</w:t>
      </w:r>
    </w:p>
    <w:p w14:paraId="02E68C7D">
      <w:pPr>
        <w:pStyle w:val="13"/>
        <w:ind w:firstLine="210"/>
        <w:rPr>
          <w:rFonts w:ascii="Calibri"/>
          <w:szCs w:val="22"/>
        </w:rPr>
      </w:pPr>
      <w:r>
        <w:fldChar w:fldCharType="begin" w:fldLock="1"/>
      </w:r>
      <w:r>
        <w:rPr>
          <w:rStyle w:val="41"/>
        </w:rPr>
        <w:instrText xml:space="preserve"> </w:instrText>
      </w:r>
      <w:r>
        <w:instrText xml:space="preserve">HYPERLINK \l "_Toc522140492"</w:instrText>
      </w:r>
      <w:r>
        <w:rPr>
          <w:rStyle w:val="41"/>
        </w:rPr>
        <w:instrText xml:space="preserve"> </w:instrText>
      </w:r>
      <w:r>
        <w:fldChar w:fldCharType="separate"/>
      </w:r>
      <w:r>
        <w:rPr>
          <w:rStyle w:val="41"/>
        </w:rPr>
        <w:t>5.2</w:t>
      </w:r>
      <w:r>
        <w:rPr>
          <w:rStyle w:val="41"/>
          <w:rFonts w:hint="eastAsia"/>
        </w:rPr>
        <w:t>　</w:t>
      </w:r>
      <w:r>
        <w:rPr>
          <w:rStyle w:val="41"/>
          <w:rFonts w:hint="eastAsia"/>
          <w:lang w:val="en-US" w:eastAsia="zh-CN"/>
        </w:rPr>
        <w:t>暗管排水工程规划布置</w:t>
      </w:r>
      <w:r>
        <w:tab/>
      </w:r>
      <w:r>
        <w:fldChar w:fldCharType="begin" w:fldLock="1"/>
      </w:r>
      <w:r>
        <w:instrText xml:space="preserve"> PAGEREF _Toc522140492 \h </w:instrText>
      </w:r>
      <w:r>
        <w:fldChar w:fldCharType="separate"/>
      </w:r>
      <w:r>
        <w:t>6</w:t>
      </w:r>
      <w:r>
        <w:fldChar w:fldCharType="end"/>
      </w:r>
      <w:r>
        <w:fldChar w:fldCharType="end"/>
      </w:r>
    </w:p>
    <w:p w14:paraId="0FCE4323">
      <w:pPr>
        <w:pStyle w:val="13"/>
        <w:ind w:firstLine="210"/>
        <w:rPr>
          <w:rFonts w:ascii="Calibri"/>
          <w:szCs w:val="22"/>
        </w:rPr>
      </w:pPr>
      <w:r>
        <w:fldChar w:fldCharType="begin" w:fldLock="1"/>
      </w:r>
      <w:r>
        <w:rPr>
          <w:rStyle w:val="41"/>
        </w:rPr>
        <w:instrText xml:space="preserve"> </w:instrText>
      </w:r>
      <w:r>
        <w:instrText xml:space="preserve">HYPERLINK \l "_Toc522140494"</w:instrText>
      </w:r>
      <w:r>
        <w:rPr>
          <w:rStyle w:val="41"/>
        </w:rPr>
        <w:instrText xml:space="preserve"> </w:instrText>
      </w:r>
      <w:r>
        <w:fldChar w:fldCharType="separate"/>
      </w:r>
      <w:r>
        <w:rPr>
          <w:rStyle w:val="41"/>
        </w:rPr>
        <w:t>5.</w:t>
      </w:r>
      <w:r>
        <w:rPr>
          <w:rStyle w:val="41"/>
          <w:rFonts w:hint="eastAsia"/>
          <w:lang w:val="en-US" w:eastAsia="zh-CN"/>
        </w:rPr>
        <w:t>3</w:t>
      </w:r>
      <w:r>
        <w:rPr>
          <w:rStyle w:val="41"/>
          <w:rFonts w:hint="eastAsia"/>
        </w:rPr>
        <w:t>　引黄灌区暗管排水工程的规划布置</w:t>
      </w:r>
      <w:r>
        <w:tab/>
      </w:r>
      <w:r>
        <w:rPr>
          <w:rFonts w:hint="eastAsia"/>
          <w:lang w:val="en-US" w:eastAsia="zh-CN"/>
        </w:rPr>
        <w:t>6</w:t>
      </w:r>
      <w:r>
        <w:fldChar w:fldCharType="end"/>
      </w:r>
    </w:p>
    <w:p w14:paraId="20D2B639">
      <w:pPr>
        <w:pStyle w:val="13"/>
        <w:ind w:firstLine="210"/>
        <w:rPr>
          <w:rFonts w:ascii="Calibri"/>
          <w:szCs w:val="22"/>
        </w:rPr>
      </w:pPr>
      <w:r>
        <w:fldChar w:fldCharType="begin" w:fldLock="1"/>
      </w:r>
      <w:r>
        <w:rPr>
          <w:rStyle w:val="41"/>
        </w:rPr>
        <w:instrText xml:space="preserve"> </w:instrText>
      </w:r>
      <w:r>
        <w:instrText xml:space="preserve">HYPERLINK \l "_Toc522140495"</w:instrText>
      </w:r>
      <w:r>
        <w:rPr>
          <w:rStyle w:val="41"/>
        </w:rPr>
        <w:instrText xml:space="preserve"> </w:instrText>
      </w:r>
      <w:r>
        <w:fldChar w:fldCharType="separate"/>
      </w:r>
      <w:r>
        <w:rPr>
          <w:rStyle w:val="41"/>
        </w:rPr>
        <w:t>5.</w:t>
      </w:r>
      <w:r>
        <w:rPr>
          <w:rStyle w:val="41"/>
          <w:rFonts w:hint="eastAsia"/>
          <w:lang w:val="en-US" w:eastAsia="zh-CN"/>
        </w:rPr>
        <w:t>4</w:t>
      </w:r>
      <w:r>
        <w:rPr>
          <w:rStyle w:val="41"/>
          <w:rFonts w:hint="eastAsia"/>
        </w:rPr>
        <w:t>　</w:t>
      </w:r>
      <w:r>
        <w:rPr>
          <w:rStyle w:val="41"/>
          <w:rFonts w:hint="eastAsia"/>
          <w:lang w:val="en-US" w:eastAsia="zh-CN"/>
        </w:rPr>
        <w:t>盐渍</w:t>
      </w:r>
      <w:r>
        <w:rPr>
          <w:rStyle w:val="41"/>
          <w:rFonts w:hint="eastAsia"/>
        </w:rPr>
        <w:t>化灌区暗管排水工程的规划布置</w:t>
      </w:r>
      <w:r>
        <w:tab/>
      </w:r>
      <w:r>
        <w:rPr>
          <w:rFonts w:hint="eastAsia"/>
          <w:lang w:val="en-US" w:eastAsia="zh-CN"/>
        </w:rPr>
        <w:t>7</w:t>
      </w:r>
      <w:r>
        <w:fldChar w:fldCharType="end"/>
      </w:r>
    </w:p>
    <w:p w14:paraId="0EC13EA2">
      <w:pPr>
        <w:pStyle w:val="21"/>
        <w:spacing w:before="78" w:after="78"/>
        <w:rPr>
          <w:rFonts w:ascii="Calibri"/>
          <w:szCs w:val="22"/>
        </w:rPr>
      </w:pPr>
      <w:r>
        <w:fldChar w:fldCharType="begin" w:fldLock="1"/>
      </w:r>
      <w:r>
        <w:rPr>
          <w:rStyle w:val="41"/>
        </w:rPr>
        <w:instrText xml:space="preserve"> </w:instrText>
      </w:r>
      <w:r>
        <w:instrText xml:space="preserve">HYPERLINK \l "_Toc522140497"</w:instrText>
      </w:r>
      <w:r>
        <w:rPr>
          <w:rStyle w:val="41"/>
        </w:rPr>
        <w:instrText xml:space="preserve"> </w:instrText>
      </w:r>
      <w:r>
        <w:fldChar w:fldCharType="separate"/>
      </w:r>
      <w:r>
        <w:rPr>
          <w:rStyle w:val="41"/>
        </w:rPr>
        <w:t>6</w:t>
      </w:r>
      <w:r>
        <w:rPr>
          <w:rStyle w:val="41"/>
          <w:rFonts w:hint="eastAsia"/>
        </w:rPr>
        <w:t>　工程设计</w:t>
      </w:r>
      <w:r>
        <w:tab/>
      </w:r>
      <w:r>
        <w:rPr>
          <w:rFonts w:hint="eastAsia"/>
          <w:lang w:val="en-US" w:eastAsia="zh-CN"/>
        </w:rPr>
        <w:t>7</w:t>
      </w:r>
      <w:r>
        <w:fldChar w:fldCharType="end"/>
      </w:r>
    </w:p>
    <w:p w14:paraId="6E577917">
      <w:pPr>
        <w:pStyle w:val="13"/>
        <w:ind w:firstLine="210"/>
        <w:rPr>
          <w:rFonts w:ascii="Calibri"/>
          <w:szCs w:val="22"/>
        </w:rPr>
      </w:pPr>
      <w:r>
        <w:fldChar w:fldCharType="begin" w:fldLock="1"/>
      </w:r>
      <w:r>
        <w:rPr>
          <w:rStyle w:val="41"/>
        </w:rPr>
        <w:instrText xml:space="preserve"> </w:instrText>
      </w:r>
      <w:r>
        <w:instrText xml:space="preserve">HYPERLINK \l "_Toc522140498"</w:instrText>
      </w:r>
      <w:r>
        <w:rPr>
          <w:rStyle w:val="41"/>
        </w:rPr>
        <w:instrText xml:space="preserve"> </w:instrText>
      </w:r>
      <w:r>
        <w:fldChar w:fldCharType="separate"/>
      </w:r>
      <w:r>
        <w:rPr>
          <w:rStyle w:val="41"/>
        </w:rPr>
        <w:t>6.1</w:t>
      </w:r>
      <w:r>
        <w:rPr>
          <w:rStyle w:val="41"/>
          <w:rFonts w:hint="eastAsia"/>
        </w:rPr>
        <w:t>　</w:t>
      </w:r>
      <w:r>
        <w:rPr>
          <w:rStyle w:val="41"/>
          <w:rFonts w:hint="eastAsia"/>
          <w:lang w:val="en-US" w:eastAsia="zh-CN"/>
        </w:rPr>
        <w:t>排水标准</w:t>
      </w:r>
      <w:r>
        <w:tab/>
      </w:r>
      <w:r>
        <w:rPr>
          <w:rFonts w:hint="eastAsia"/>
          <w:lang w:val="en-US" w:eastAsia="zh-CN"/>
        </w:rPr>
        <w:t>7</w:t>
      </w:r>
      <w:r>
        <w:fldChar w:fldCharType="end"/>
      </w:r>
    </w:p>
    <w:p w14:paraId="1A777E42">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"_Toc522140499"</w:instrText>
      </w:r>
      <w:r>
        <w:rPr>
          <w:rStyle w:val="41"/>
        </w:rPr>
        <w:instrText xml:space="preserve"> </w:instrText>
      </w:r>
      <w:r>
        <w:fldChar w:fldCharType="separate"/>
      </w:r>
      <w:r>
        <w:rPr>
          <w:rStyle w:val="41"/>
        </w:rPr>
        <w:t>6.2</w:t>
      </w:r>
      <w:r>
        <w:rPr>
          <w:rStyle w:val="41"/>
          <w:rFonts w:hint="eastAsia"/>
        </w:rPr>
        <w:t>　</w:t>
      </w:r>
      <w:r>
        <w:rPr>
          <w:rStyle w:val="41"/>
          <w:rFonts w:hint="eastAsia"/>
          <w:lang w:val="en-US" w:eastAsia="zh-CN"/>
        </w:rPr>
        <w:t>暗管</w:t>
      </w:r>
      <w:r>
        <w:rPr>
          <w:rStyle w:val="41"/>
          <w:rFonts w:hint="eastAsia"/>
        </w:rPr>
        <w:t>排水设计标准</w:t>
      </w:r>
      <w:r>
        <w:tab/>
      </w:r>
      <w:r>
        <w:rPr>
          <w:rFonts w:hint="eastAsia"/>
          <w:lang w:val="en-US" w:eastAsia="zh-CN"/>
        </w:rPr>
        <w:t>1</w:t>
      </w:r>
      <w:r>
        <w:fldChar w:fldCharType="end"/>
      </w:r>
      <w:r>
        <w:rPr>
          <w:rFonts w:hint="eastAsia"/>
          <w:lang w:val="en-US" w:eastAsia="zh-CN"/>
        </w:rPr>
        <w:t>0</w:t>
      </w:r>
    </w:p>
    <w:p w14:paraId="449378F2">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"_Toc522140500"</w:instrText>
      </w:r>
      <w:r>
        <w:rPr>
          <w:rStyle w:val="41"/>
        </w:rPr>
        <w:instrText xml:space="preserve"> </w:instrText>
      </w:r>
      <w:r>
        <w:fldChar w:fldCharType="separate"/>
      </w:r>
      <w:r>
        <w:rPr>
          <w:rStyle w:val="41"/>
        </w:rPr>
        <w:t>6.3</w:t>
      </w:r>
      <w:r>
        <w:rPr>
          <w:rStyle w:val="41"/>
          <w:rFonts w:hint="eastAsia"/>
        </w:rPr>
        <w:t>　吸水管系统设计</w:t>
      </w:r>
      <w:r>
        <w:tab/>
      </w:r>
      <w:r>
        <w:rPr>
          <w:rFonts w:hint="eastAsia"/>
          <w:lang w:val="en-US" w:eastAsia="zh-CN"/>
        </w:rPr>
        <w:t>1</w:t>
      </w:r>
      <w:r>
        <w:fldChar w:fldCharType="end"/>
      </w:r>
      <w:r>
        <w:rPr>
          <w:rFonts w:hint="eastAsia"/>
          <w:lang w:val="en-US" w:eastAsia="zh-CN"/>
        </w:rPr>
        <w:t>0</w:t>
      </w:r>
    </w:p>
    <w:p w14:paraId="5A186040">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"_Toc522140501"</w:instrText>
      </w:r>
      <w:r>
        <w:rPr>
          <w:rStyle w:val="41"/>
        </w:rPr>
        <w:instrText xml:space="preserve"> </w:instrText>
      </w:r>
      <w:r>
        <w:fldChar w:fldCharType="separate"/>
      </w:r>
      <w:r>
        <w:rPr>
          <w:rStyle w:val="41"/>
        </w:rPr>
        <w:t>6.4</w:t>
      </w:r>
      <w:r>
        <w:rPr>
          <w:rStyle w:val="41"/>
          <w:rFonts w:hint="eastAsia"/>
        </w:rPr>
        <w:t>　</w:t>
      </w:r>
      <w:r>
        <w:rPr>
          <w:rStyle w:val="41"/>
          <w:rFonts w:hint="eastAsia"/>
          <w:lang w:val="en-US" w:eastAsia="zh-CN"/>
        </w:rPr>
        <w:t>吸水管外包滤料</w:t>
      </w:r>
      <w:r>
        <w:tab/>
      </w:r>
      <w:r>
        <w:rPr>
          <w:rFonts w:hint="eastAsia"/>
          <w:lang w:val="en-US" w:eastAsia="zh-CN"/>
        </w:rPr>
        <w:t>1</w:t>
      </w:r>
      <w:r>
        <w:fldChar w:fldCharType="end"/>
      </w:r>
      <w:r>
        <w:rPr>
          <w:rFonts w:hint="eastAsia"/>
          <w:lang w:val="en-US" w:eastAsia="zh-CN"/>
        </w:rPr>
        <w:t>1</w:t>
      </w:r>
    </w:p>
    <w:p w14:paraId="4680B7DE">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"_Toc522140502"</w:instrText>
      </w:r>
      <w:r>
        <w:rPr>
          <w:rStyle w:val="41"/>
        </w:rPr>
        <w:instrText xml:space="preserve"> </w:instrText>
      </w:r>
      <w:r>
        <w:fldChar w:fldCharType="separate"/>
      </w:r>
      <w:r>
        <w:rPr>
          <w:rStyle w:val="41"/>
        </w:rPr>
        <w:t>6.5</w:t>
      </w:r>
      <w:r>
        <w:rPr>
          <w:rStyle w:val="41"/>
          <w:rFonts w:hint="eastAsia"/>
        </w:rPr>
        <w:t>　</w:t>
      </w:r>
      <w:r>
        <w:rPr>
          <w:rStyle w:val="41"/>
          <w:rFonts w:hint="eastAsia"/>
          <w:lang w:val="en-US" w:eastAsia="zh-CN"/>
        </w:rPr>
        <w:t>集水管系统设计</w:t>
      </w:r>
      <w:r>
        <w:tab/>
      </w:r>
      <w:r>
        <w:rPr>
          <w:rFonts w:hint="eastAsia"/>
          <w:lang w:val="en-US" w:eastAsia="zh-CN"/>
        </w:rPr>
        <w:t>1</w:t>
      </w:r>
      <w:r>
        <w:fldChar w:fldCharType="end"/>
      </w:r>
      <w:r>
        <w:rPr>
          <w:rFonts w:hint="eastAsia"/>
          <w:lang w:val="en-US" w:eastAsia="zh-CN"/>
        </w:rPr>
        <w:t>2</w:t>
      </w:r>
    </w:p>
    <w:p w14:paraId="0696C364">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"_Toc522140503"</w:instrText>
      </w:r>
      <w:r>
        <w:rPr>
          <w:rStyle w:val="41"/>
        </w:rPr>
        <w:instrText xml:space="preserve"> </w:instrText>
      </w:r>
      <w:r>
        <w:fldChar w:fldCharType="separate"/>
      </w:r>
      <w:r>
        <w:rPr>
          <w:rStyle w:val="41"/>
        </w:rPr>
        <w:t>6.6</w:t>
      </w:r>
      <w:r>
        <w:rPr>
          <w:rStyle w:val="41"/>
          <w:rFonts w:hint="eastAsia"/>
        </w:rPr>
        <w:t>　</w:t>
      </w:r>
      <w:r>
        <w:rPr>
          <w:rStyle w:val="41"/>
          <w:rFonts w:hint="eastAsia"/>
          <w:lang w:val="en-US" w:eastAsia="zh-CN"/>
        </w:rPr>
        <w:t>检查井（连接井）</w:t>
      </w:r>
      <w:r>
        <w:tab/>
      </w:r>
      <w:r>
        <w:rPr>
          <w:rFonts w:hint="eastAsia"/>
          <w:lang w:val="en-US" w:eastAsia="zh-CN"/>
        </w:rPr>
        <w:t>1</w:t>
      </w:r>
      <w:r>
        <w:fldChar w:fldCharType="end"/>
      </w:r>
      <w:r>
        <w:rPr>
          <w:rFonts w:hint="eastAsia"/>
          <w:lang w:val="en-US" w:eastAsia="zh-CN"/>
        </w:rPr>
        <w:t>3</w:t>
      </w:r>
    </w:p>
    <w:p w14:paraId="1D5B0652">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"_Toc522140504"</w:instrText>
      </w:r>
      <w:r>
        <w:rPr>
          <w:rStyle w:val="41"/>
        </w:rPr>
        <w:instrText xml:space="preserve"> </w:instrText>
      </w:r>
      <w:r>
        <w:fldChar w:fldCharType="separate"/>
      </w:r>
      <w:r>
        <w:rPr>
          <w:rStyle w:val="41"/>
        </w:rPr>
        <w:t>6.7</w:t>
      </w:r>
      <w:r>
        <w:rPr>
          <w:rStyle w:val="41"/>
          <w:rFonts w:hint="eastAsia"/>
        </w:rPr>
        <w:t>　</w:t>
      </w:r>
      <w:r>
        <w:rPr>
          <w:rStyle w:val="41"/>
          <w:rFonts w:hint="eastAsia"/>
          <w:lang w:val="en-US" w:eastAsia="zh-CN"/>
        </w:rPr>
        <w:t>暗管排水出口段设置</w:t>
      </w:r>
      <w:r>
        <w:tab/>
      </w:r>
      <w:r>
        <w:rPr>
          <w:rFonts w:hint="eastAsia"/>
          <w:lang w:val="en-US" w:eastAsia="zh-CN"/>
        </w:rPr>
        <w:t>1</w:t>
      </w:r>
      <w:r>
        <w:fldChar w:fldCharType="end"/>
      </w:r>
      <w:r>
        <w:rPr>
          <w:rFonts w:hint="eastAsia"/>
          <w:lang w:val="en-US" w:eastAsia="zh-CN"/>
        </w:rPr>
        <w:t>3</w:t>
      </w:r>
    </w:p>
    <w:p w14:paraId="0ADE831E">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"_Toc522140505"</w:instrText>
      </w:r>
      <w:r>
        <w:rPr>
          <w:rStyle w:val="41"/>
        </w:rPr>
        <w:instrText xml:space="preserve"> </w:instrText>
      </w:r>
      <w:r>
        <w:fldChar w:fldCharType="separate"/>
      </w:r>
      <w:r>
        <w:rPr>
          <w:rStyle w:val="41"/>
        </w:rPr>
        <w:t>6.8</w:t>
      </w:r>
      <w:r>
        <w:rPr>
          <w:rStyle w:val="41"/>
          <w:rFonts w:hint="eastAsia"/>
        </w:rPr>
        <w:t>　暗管</w:t>
      </w:r>
      <w:r>
        <w:rPr>
          <w:rStyle w:val="41"/>
          <w:rFonts w:hint="eastAsia"/>
          <w:lang w:val="en-US" w:eastAsia="zh-CN"/>
        </w:rPr>
        <w:t>材质</w:t>
      </w:r>
      <w:r>
        <w:tab/>
      </w:r>
      <w:r>
        <w:rPr>
          <w:rFonts w:hint="eastAsia"/>
          <w:lang w:val="en-US" w:eastAsia="zh-CN"/>
        </w:rPr>
        <w:t>1</w:t>
      </w:r>
      <w:r>
        <w:fldChar w:fldCharType="end"/>
      </w:r>
      <w:r>
        <w:rPr>
          <w:rFonts w:hint="eastAsia"/>
          <w:lang w:val="en-US" w:eastAsia="zh-CN"/>
        </w:rPr>
        <w:t>3</w:t>
      </w:r>
    </w:p>
    <w:p w14:paraId="0CF3DF86">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"_Toc522140506"</w:instrText>
      </w:r>
      <w:r>
        <w:rPr>
          <w:rStyle w:val="41"/>
        </w:rPr>
        <w:instrText xml:space="preserve"> </w:instrText>
      </w:r>
      <w:r>
        <w:fldChar w:fldCharType="separate"/>
      </w:r>
      <w:r>
        <w:rPr>
          <w:rStyle w:val="41"/>
        </w:rPr>
        <w:t>6.9</w:t>
      </w:r>
      <w:r>
        <w:rPr>
          <w:rStyle w:val="41"/>
          <w:rFonts w:hint="eastAsia"/>
        </w:rPr>
        <w:t>　</w:t>
      </w:r>
      <w:r>
        <w:rPr>
          <w:rStyle w:val="41"/>
          <w:rFonts w:hint="eastAsia"/>
          <w:lang w:val="en-US" w:eastAsia="zh-CN"/>
        </w:rPr>
        <w:t>集水井与泵站</w:t>
      </w:r>
      <w:r>
        <w:tab/>
      </w:r>
      <w:r>
        <w:rPr>
          <w:rFonts w:hint="eastAsia"/>
          <w:lang w:val="en-US" w:eastAsia="zh-CN"/>
        </w:rPr>
        <w:t>1</w:t>
      </w:r>
      <w:r>
        <w:fldChar w:fldCharType="end"/>
      </w:r>
      <w:r>
        <w:rPr>
          <w:rFonts w:hint="eastAsia"/>
          <w:lang w:val="en-US" w:eastAsia="zh-CN"/>
        </w:rPr>
        <w:t>4</w:t>
      </w:r>
    </w:p>
    <w:p w14:paraId="4ED8E03C">
      <w:pPr>
        <w:pStyle w:val="21"/>
        <w:spacing w:before="78" w:after="78"/>
        <w:rPr>
          <w:rFonts w:hint="eastAsia" w:ascii="Calibri" w:eastAsia="宋体"/>
          <w:szCs w:val="22"/>
          <w:lang w:val="en-US" w:eastAsia="zh-CN"/>
        </w:rPr>
      </w:pPr>
      <w:r>
        <w:fldChar w:fldCharType="begin" w:fldLock="1"/>
      </w:r>
      <w:r>
        <w:rPr>
          <w:rStyle w:val="41"/>
        </w:rPr>
        <w:instrText xml:space="preserve"> </w:instrText>
      </w:r>
      <w:r>
        <w:instrText xml:space="preserve">HYPERLINK \l "_Toc522140508"</w:instrText>
      </w:r>
      <w:r>
        <w:rPr>
          <w:rStyle w:val="41"/>
        </w:rPr>
        <w:instrText xml:space="preserve"> </w:instrText>
      </w:r>
      <w:r>
        <w:fldChar w:fldCharType="separate"/>
      </w:r>
      <w:r>
        <w:rPr>
          <w:rStyle w:val="41"/>
        </w:rPr>
        <w:t>7</w:t>
      </w:r>
      <w:r>
        <w:rPr>
          <w:rStyle w:val="41"/>
          <w:rFonts w:hint="eastAsia"/>
        </w:rPr>
        <w:t>　工程施工</w:t>
      </w:r>
      <w:r>
        <w:tab/>
      </w:r>
      <w:r>
        <w:rPr>
          <w:rFonts w:hint="eastAsia"/>
          <w:lang w:val="en-US" w:eastAsia="zh-CN"/>
        </w:rPr>
        <w:t>1</w:t>
      </w:r>
      <w:r>
        <w:fldChar w:fldCharType="end"/>
      </w:r>
      <w:r>
        <w:rPr>
          <w:rFonts w:hint="eastAsia"/>
          <w:lang w:val="en-US" w:eastAsia="zh-CN"/>
        </w:rPr>
        <w:t>4</w:t>
      </w:r>
    </w:p>
    <w:p w14:paraId="0B704CD7">
      <w:pPr>
        <w:pStyle w:val="13"/>
        <w:ind w:firstLine="210"/>
        <w:rPr>
          <w:rFonts w:hint="default" w:ascii="Calibri" w:eastAsia="宋体"/>
          <w:szCs w:val="22"/>
          <w:lang w:val="en-US" w:eastAsia="zh-CN"/>
        </w:rPr>
      </w:pPr>
      <w:r>
        <w:fldChar w:fldCharType="begin" w:fldLock="1"/>
      </w:r>
      <w:r>
        <w:rPr>
          <w:rStyle w:val="41"/>
        </w:rPr>
        <w:instrText xml:space="preserve"> </w:instrText>
      </w:r>
      <w:r>
        <w:instrText xml:space="preserve">HYPERLINK \l "_Toc522140509"</w:instrText>
      </w:r>
      <w:r>
        <w:rPr>
          <w:rStyle w:val="41"/>
        </w:rPr>
        <w:instrText xml:space="preserve"> </w:instrText>
      </w:r>
      <w:r>
        <w:fldChar w:fldCharType="separate"/>
      </w:r>
      <w:r>
        <w:rPr>
          <w:rStyle w:val="41"/>
        </w:rPr>
        <w:t>7.1</w:t>
      </w:r>
      <w:r>
        <w:rPr>
          <w:rStyle w:val="41"/>
          <w:rFonts w:hint="eastAsia"/>
        </w:rPr>
        <w:t>　一般规定</w:t>
      </w:r>
      <w:r>
        <w:tab/>
      </w:r>
      <w:r>
        <w:fldChar w:fldCharType="begin" w:fldLock="1"/>
      </w:r>
      <w:r>
        <w:instrText xml:space="preserve"> PAGEREF _Toc522140509 \h </w:instrText>
      </w:r>
      <w:r>
        <w:fldChar w:fldCharType="separate"/>
      </w:r>
      <w:r>
        <w:t>1</w:t>
      </w:r>
      <w:r>
        <w:fldChar w:fldCharType="end"/>
      </w:r>
      <w:r>
        <w:fldChar w:fldCharType="end"/>
      </w:r>
      <w:r>
        <w:rPr>
          <w:rFonts w:hint="eastAsia"/>
          <w:lang w:val="en-US" w:eastAsia="zh-CN"/>
        </w:rPr>
        <w:t>4</w:t>
      </w:r>
    </w:p>
    <w:p w14:paraId="7415105A">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"_Toc522140510"</w:instrText>
      </w:r>
      <w:r>
        <w:rPr>
          <w:rStyle w:val="41"/>
        </w:rPr>
        <w:instrText xml:space="preserve"> </w:instrText>
      </w:r>
      <w:r>
        <w:fldChar w:fldCharType="separate"/>
      </w:r>
      <w:r>
        <w:rPr>
          <w:rStyle w:val="41"/>
        </w:rPr>
        <w:t>7.2</w:t>
      </w:r>
      <w:r>
        <w:rPr>
          <w:rStyle w:val="41"/>
          <w:rFonts w:hint="eastAsia"/>
        </w:rPr>
        <w:t>　施工工艺</w:t>
      </w:r>
      <w:r>
        <w:tab/>
      </w:r>
      <w:r>
        <w:rPr>
          <w:rFonts w:hint="eastAsia"/>
          <w:lang w:val="en-US" w:eastAsia="zh-CN"/>
        </w:rPr>
        <w:t>1</w:t>
      </w:r>
      <w:r>
        <w:fldChar w:fldCharType="end"/>
      </w:r>
      <w:r>
        <w:rPr>
          <w:rFonts w:hint="eastAsia"/>
          <w:lang w:val="en-US" w:eastAsia="zh-CN"/>
        </w:rPr>
        <w:t>5</w:t>
      </w:r>
    </w:p>
    <w:p w14:paraId="0097656B">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"_Toc522140511"</w:instrText>
      </w:r>
      <w:r>
        <w:rPr>
          <w:rStyle w:val="41"/>
        </w:rPr>
        <w:instrText xml:space="preserve"> </w:instrText>
      </w:r>
      <w:r>
        <w:fldChar w:fldCharType="separate"/>
      </w:r>
      <w:r>
        <w:rPr>
          <w:rStyle w:val="41"/>
        </w:rPr>
        <w:t>7.3</w:t>
      </w:r>
      <w:r>
        <w:rPr>
          <w:rStyle w:val="41"/>
          <w:rFonts w:hint="eastAsia"/>
        </w:rPr>
        <w:t>　吸水管施工</w:t>
      </w:r>
      <w:r>
        <w:tab/>
      </w:r>
      <w:r>
        <w:rPr>
          <w:rFonts w:hint="eastAsia"/>
          <w:lang w:val="en-US" w:eastAsia="zh-CN"/>
        </w:rPr>
        <w:t>1</w:t>
      </w:r>
      <w:r>
        <w:fldChar w:fldCharType="end"/>
      </w:r>
      <w:r>
        <w:rPr>
          <w:rFonts w:hint="eastAsia"/>
          <w:lang w:val="en-US" w:eastAsia="zh-CN"/>
        </w:rPr>
        <w:t>6</w:t>
      </w:r>
    </w:p>
    <w:p w14:paraId="4EB2CBFE">
      <w:pPr>
        <w:pStyle w:val="13"/>
        <w:ind w:firstLine="210"/>
        <w:rPr>
          <w:rFonts w:hint="eastAsia" w:ascii="Calibri" w:eastAsia="宋体"/>
          <w:szCs w:val="22"/>
          <w:lang w:eastAsia="zh-CN"/>
        </w:rPr>
      </w:pPr>
      <w:r>
        <w:fldChar w:fldCharType="begin" w:fldLock="1"/>
      </w:r>
      <w:r>
        <w:rPr>
          <w:rStyle w:val="41"/>
        </w:rPr>
        <w:instrText xml:space="preserve"> </w:instrText>
      </w:r>
      <w:r>
        <w:instrText xml:space="preserve">HYPERLINK \l "_Toc522140512"</w:instrText>
      </w:r>
      <w:r>
        <w:rPr>
          <w:rStyle w:val="41"/>
        </w:rPr>
        <w:instrText xml:space="preserve"> </w:instrText>
      </w:r>
      <w:r>
        <w:fldChar w:fldCharType="separate"/>
      </w:r>
      <w:r>
        <w:rPr>
          <w:rStyle w:val="41"/>
        </w:rPr>
        <w:t>7.4</w:t>
      </w:r>
      <w:r>
        <w:rPr>
          <w:rStyle w:val="41"/>
          <w:rFonts w:hint="eastAsia"/>
        </w:rPr>
        <w:t>　集水管施工</w:t>
      </w:r>
      <w:r>
        <w:tab/>
      </w:r>
      <w:r>
        <w:rPr>
          <w:rFonts w:hint="eastAsia"/>
        </w:rPr>
        <w:t>1</w:t>
      </w:r>
      <w:r>
        <w:fldChar w:fldCharType="end"/>
      </w:r>
      <w:r>
        <w:rPr>
          <w:rFonts w:hint="eastAsia"/>
          <w:lang w:val="en-US" w:eastAsia="zh-CN"/>
        </w:rPr>
        <w:t>6</w:t>
      </w:r>
    </w:p>
    <w:p w14:paraId="627A59AA">
      <w:pPr>
        <w:pStyle w:val="13"/>
        <w:ind w:firstLine="210"/>
        <w:rPr>
          <w:rFonts w:hint="default" w:eastAsia="宋体"/>
          <w:lang w:val="en-US" w:eastAsia="zh-CN"/>
        </w:rPr>
      </w:pPr>
      <w:r>
        <w:fldChar w:fldCharType="begin" w:fldLock="1"/>
      </w:r>
      <w:r>
        <w:rPr>
          <w:rStyle w:val="41"/>
        </w:rPr>
        <w:instrText xml:space="preserve"> </w:instrText>
      </w:r>
      <w:r>
        <w:instrText xml:space="preserve">HYPERLINK \l "_Toc522140513"</w:instrText>
      </w:r>
      <w:r>
        <w:rPr>
          <w:rStyle w:val="41"/>
        </w:rPr>
        <w:instrText xml:space="preserve"> </w:instrText>
      </w:r>
      <w:r>
        <w:fldChar w:fldCharType="separate"/>
      </w:r>
      <w:r>
        <w:rPr>
          <w:rStyle w:val="41"/>
        </w:rPr>
        <w:t>7.5</w:t>
      </w:r>
      <w:r>
        <w:rPr>
          <w:rStyle w:val="41"/>
          <w:rFonts w:hint="eastAsia"/>
        </w:rPr>
        <w:t>　</w:t>
      </w:r>
      <w:r>
        <w:rPr>
          <w:rStyle w:val="41"/>
          <w:rFonts w:hint="eastAsia"/>
          <w:lang w:val="en-US" w:eastAsia="zh-CN"/>
        </w:rPr>
        <w:t>检查井、集水井</w:t>
      </w:r>
      <w:r>
        <w:rPr>
          <w:rStyle w:val="41"/>
          <w:rFonts w:hint="eastAsia"/>
        </w:rPr>
        <w:t>施工</w:t>
      </w:r>
      <w:r>
        <w:tab/>
      </w:r>
      <w:r>
        <w:fldChar w:fldCharType="end"/>
      </w:r>
      <w:r>
        <w:rPr>
          <w:rFonts w:hint="eastAsia"/>
          <w:lang w:val="en-US" w:eastAsia="zh-CN"/>
        </w:rPr>
        <w:t>16</w:t>
      </w:r>
    </w:p>
    <w:p w14:paraId="0496A434">
      <w:pPr>
        <w:rPr>
          <w:rFonts w:hint="default" w:ascii="宋体" w:hAnsi="宋体" w:eastAsia="宋体" w:cs="宋体"/>
          <w:lang w:val="en-US" w:eastAsia="zh-CN"/>
        </w:rPr>
      </w:pPr>
      <w:r>
        <w:rPr>
          <w:rFonts w:hint="eastAsia"/>
          <w:lang w:val="en-US" w:eastAsia="zh-CN"/>
        </w:rPr>
        <w:t xml:space="preserve">  </w:t>
      </w:r>
      <w:r>
        <w:rPr>
          <w:rFonts w:hint="eastAsia" w:ascii="宋体" w:hAnsi="宋体" w:eastAsia="宋体" w:cs="宋体"/>
        </w:rPr>
        <w:fldChar w:fldCharType="begin" w:fldLock="1"/>
      </w:r>
      <w:r>
        <w:rPr>
          <w:rStyle w:val="41"/>
          <w:rFonts w:hint="eastAsia" w:ascii="宋体" w:hAnsi="宋体" w:eastAsia="宋体" w:cs="宋体"/>
        </w:rPr>
        <w:instrText xml:space="preserve"> </w:instrText>
      </w:r>
      <w:r>
        <w:rPr>
          <w:rFonts w:hint="eastAsia" w:ascii="宋体" w:hAnsi="宋体" w:eastAsia="宋体" w:cs="宋体"/>
        </w:rPr>
        <w:instrText xml:space="preserve">HYPERLINK \l "_Toc522140513"</w:instrText>
      </w:r>
      <w:r>
        <w:rPr>
          <w:rStyle w:val="41"/>
          <w:rFonts w:hint="eastAsia" w:ascii="宋体" w:hAnsi="宋体" w:eastAsia="宋体" w:cs="宋体"/>
        </w:rPr>
        <w:instrText xml:space="preserve"> </w:instrText>
      </w:r>
      <w:r>
        <w:rPr>
          <w:rFonts w:hint="eastAsia" w:ascii="宋体" w:hAnsi="宋体" w:eastAsia="宋体" w:cs="宋体"/>
        </w:rPr>
        <w:fldChar w:fldCharType="separate"/>
      </w:r>
      <w:r>
        <w:rPr>
          <w:rStyle w:val="41"/>
          <w:rFonts w:hint="eastAsia" w:ascii="宋体" w:hAnsi="宋体" w:eastAsia="宋体" w:cs="宋体"/>
        </w:rPr>
        <w:t>7.</w:t>
      </w:r>
      <w:r>
        <w:rPr>
          <w:rStyle w:val="41"/>
          <w:rFonts w:hint="eastAsia" w:ascii="宋体" w:hAnsi="宋体" w:eastAsia="宋体" w:cs="宋体"/>
          <w:lang w:val="en-US" w:eastAsia="zh-CN"/>
        </w:rPr>
        <w:t>6</w:t>
      </w:r>
      <w:r>
        <w:rPr>
          <w:rStyle w:val="41"/>
          <w:rFonts w:hint="eastAsia" w:ascii="宋体" w:hAnsi="宋体" w:eastAsia="宋体" w:cs="宋体"/>
        </w:rPr>
        <w:t>　</w:t>
      </w:r>
      <w:r>
        <w:rPr>
          <w:rStyle w:val="41"/>
          <w:rFonts w:hint="eastAsia" w:ascii="宋体" w:hAnsi="宋体" w:eastAsia="宋体" w:cs="宋体"/>
          <w:lang w:val="en-US" w:eastAsia="zh-CN"/>
        </w:rPr>
        <w:t>光伏强排泵站施工</w:t>
      </w:r>
      <w:r>
        <w:rPr>
          <w:rFonts w:hint="eastAsia" w:ascii="宋体" w:hAnsi="宋体" w:eastAsia="宋体" w:cs="宋体"/>
        </w:rPr>
        <w:tab/>
      </w:r>
      <w:r>
        <w:rPr>
          <w:rFonts w:hint="eastAsia" w:ascii="宋体" w:hAnsi="宋体" w:eastAsia="宋体" w:cs="宋体"/>
          <w:lang w:val="en-US" w:eastAsia="zh-CN"/>
        </w:rPr>
        <w:t xml:space="preserve">............................................................. </w:t>
      </w:r>
      <w:r>
        <w:rPr>
          <w:rFonts w:hint="eastAsia" w:ascii="宋体" w:hAnsi="宋体" w:eastAsia="宋体" w:cs="宋体"/>
        </w:rPr>
        <w:fldChar w:fldCharType="end"/>
      </w:r>
      <w:r>
        <w:rPr>
          <w:rFonts w:hint="eastAsia" w:ascii="宋体" w:hAnsi="宋体" w:cs="宋体"/>
          <w:lang w:val="en-US" w:eastAsia="zh-CN"/>
        </w:rPr>
        <w:t>17</w:t>
      </w:r>
    </w:p>
    <w:p w14:paraId="1A19F437">
      <w:pPr>
        <w:rPr>
          <w:rFonts w:hint="default" w:ascii="宋体" w:hAnsi="宋体" w:eastAsia="宋体" w:cs="宋体"/>
          <w:lang w:val="en-US" w:eastAsia="zh-CN"/>
        </w:rPr>
      </w:pPr>
      <w:r>
        <w:rPr>
          <w:rFonts w:hint="eastAsia"/>
          <w:lang w:val="en-US" w:eastAsia="zh-CN"/>
        </w:rPr>
        <w:t xml:space="preserve">  </w:t>
      </w:r>
      <w:r>
        <w:rPr>
          <w:rFonts w:hint="eastAsia" w:ascii="宋体" w:hAnsi="宋体" w:eastAsia="宋体" w:cs="宋体"/>
        </w:rPr>
        <w:fldChar w:fldCharType="begin" w:fldLock="1"/>
      </w:r>
      <w:r>
        <w:rPr>
          <w:rStyle w:val="41"/>
          <w:rFonts w:hint="eastAsia" w:ascii="宋体" w:hAnsi="宋体" w:eastAsia="宋体" w:cs="宋体"/>
        </w:rPr>
        <w:instrText xml:space="preserve"> </w:instrText>
      </w:r>
      <w:r>
        <w:rPr>
          <w:rFonts w:hint="eastAsia" w:ascii="宋体" w:hAnsi="宋体" w:eastAsia="宋体" w:cs="宋体"/>
        </w:rPr>
        <w:instrText xml:space="preserve">HYPERLINK \l "_Toc522140513"</w:instrText>
      </w:r>
      <w:r>
        <w:rPr>
          <w:rStyle w:val="41"/>
          <w:rFonts w:hint="eastAsia" w:ascii="宋体" w:hAnsi="宋体" w:eastAsia="宋体" w:cs="宋体"/>
        </w:rPr>
        <w:instrText xml:space="preserve"> </w:instrText>
      </w:r>
      <w:r>
        <w:rPr>
          <w:rFonts w:hint="eastAsia" w:ascii="宋体" w:hAnsi="宋体" w:eastAsia="宋体" w:cs="宋体"/>
        </w:rPr>
        <w:fldChar w:fldCharType="separate"/>
      </w:r>
      <w:r>
        <w:rPr>
          <w:rStyle w:val="41"/>
          <w:rFonts w:hint="eastAsia" w:ascii="宋体" w:hAnsi="宋体" w:eastAsia="宋体" w:cs="宋体"/>
        </w:rPr>
        <w:t>7.</w:t>
      </w:r>
      <w:r>
        <w:rPr>
          <w:rStyle w:val="41"/>
          <w:rFonts w:hint="eastAsia" w:ascii="宋体" w:hAnsi="宋体" w:eastAsia="宋体" w:cs="宋体"/>
          <w:lang w:val="en-US" w:eastAsia="zh-CN"/>
        </w:rPr>
        <w:t>7</w:t>
      </w:r>
      <w:r>
        <w:rPr>
          <w:rStyle w:val="41"/>
          <w:rFonts w:hint="eastAsia" w:ascii="宋体" w:hAnsi="宋体" w:eastAsia="宋体" w:cs="宋体"/>
        </w:rPr>
        <w:t>　</w:t>
      </w:r>
      <w:r>
        <w:rPr>
          <w:rStyle w:val="41"/>
          <w:rFonts w:hint="eastAsia" w:ascii="宋体" w:hAnsi="宋体" w:eastAsia="宋体" w:cs="宋体"/>
          <w:lang w:val="en-US" w:eastAsia="zh-CN"/>
        </w:rPr>
        <w:t>施工管理</w:t>
      </w:r>
      <w:r>
        <w:rPr>
          <w:rFonts w:hint="eastAsia" w:ascii="宋体" w:hAnsi="宋体" w:eastAsia="宋体" w:cs="宋体"/>
        </w:rPr>
        <w:tab/>
      </w:r>
      <w:r>
        <w:rPr>
          <w:rFonts w:hint="eastAsia" w:ascii="宋体" w:hAnsi="宋体" w:eastAsia="宋体" w:cs="宋体"/>
          <w:lang w:val="en-US" w:eastAsia="zh-CN"/>
        </w:rPr>
        <w:t>......................................................................</w:t>
      </w:r>
      <w:r>
        <w:rPr>
          <w:rFonts w:hint="eastAsia" w:ascii="宋体" w:hAnsi="宋体" w:eastAsia="宋体" w:cs="宋体"/>
        </w:rPr>
        <w:fldChar w:fldCharType="end"/>
      </w:r>
      <w:r>
        <w:rPr>
          <w:rFonts w:hint="eastAsia" w:ascii="宋体" w:hAnsi="宋体" w:cs="宋体"/>
          <w:lang w:val="en-US" w:eastAsia="zh-CN"/>
        </w:rPr>
        <w:t>17</w:t>
      </w:r>
    </w:p>
    <w:p w14:paraId="51175A78">
      <w:pPr>
        <w:pStyle w:val="21"/>
        <w:spacing w:before="78" w:after="78"/>
        <w:rPr>
          <w:rFonts w:hint="eastAsia" w:eastAsia="宋体"/>
          <w:lang w:val="en-US" w:eastAsia="zh-CN"/>
        </w:rPr>
      </w:pPr>
      <w:r>
        <w:fldChar w:fldCharType="begin" w:fldLock="1"/>
      </w:r>
      <w:r>
        <w:rPr>
          <w:rStyle w:val="41"/>
        </w:rPr>
        <w:instrText xml:space="preserve"> </w:instrText>
      </w:r>
      <w:r>
        <w:instrText xml:space="preserve">HYPERLINK \l "_Toc522140514"</w:instrText>
      </w:r>
      <w:r>
        <w:rPr>
          <w:rStyle w:val="41"/>
        </w:rPr>
        <w:instrText xml:space="preserve"> </w:instrText>
      </w:r>
      <w:r>
        <w:fldChar w:fldCharType="separate"/>
      </w:r>
      <w:r>
        <w:rPr>
          <w:rStyle w:val="41"/>
        </w:rPr>
        <w:t>8</w:t>
      </w:r>
      <w:r>
        <w:rPr>
          <w:rStyle w:val="41"/>
          <w:rFonts w:hint="eastAsia"/>
        </w:rPr>
        <w:t>　工程验收</w:t>
      </w:r>
      <w:r>
        <w:tab/>
      </w:r>
      <w:r>
        <w:rPr>
          <w:rFonts w:hint="eastAsia"/>
          <w:lang w:val="en-US" w:eastAsia="zh-CN"/>
        </w:rPr>
        <w:t>1</w:t>
      </w:r>
      <w:r>
        <w:fldChar w:fldCharType="end"/>
      </w:r>
      <w:r>
        <w:rPr>
          <w:rFonts w:hint="eastAsia"/>
          <w:lang w:val="en-US" w:eastAsia="zh-CN"/>
        </w:rPr>
        <w:t>7</w:t>
      </w:r>
    </w:p>
    <w:p w14:paraId="33A40AF9">
      <w:pPr>
        <w:rPr>
          <w:rFonts w:hint="eastAsia" w:ascii="宋体" w:hAnsi="宋体" w:eastAsia="宋体" w:cs="宋体"/>
          <w:lang w:val="en-US" w:eastAsia="zh-CN"/>
        </w:rPr>
      </w:pPr>
      <w:r>
        <w:rPr>
          <w:rFonts w:hint="eastAsia"/>
          <w:lang w:val="en-US" w:eastAsia="zh-CN"/>
        </w:rPr>
        <w:t xml:space="preserve">  </w:t>
      </w:r>
      <w:r>
        <w:rPr>
          <w:rFonts w:hint="eastAsia" w:ascii="宋体" w:hAnsi="宋体" w:eastAsia="宋体" w:cs="宋体"/>
        </w:rPr>
        <w:fldChar w:fldCharType="begin" w:fldLock="1"/>
      </w:r>
      <w:r>
        <w:rPr>
          <w:rStyle w:val="41"/>
          <w:rFonts w:hint="eastAsia" w:ascii="宋体" w:hAnsi="宋体" w:eastAsia="宋体" w:cs="宋体"/>
        </w:rPr>
        <w:instrText xml:space="preserve"> </w:instrText>
      </w:r>
      <w:r>
        <w:rPr>
          <w:rFonts w:hint="eastAsia" w:ascii="宋体" w:hAnsi="宋体" w:eastAsia="宋体" w:cs="宋体"/>
        </w:rPr>
        <w:instrText xml:space="preserve">HYPERLINK \l "_Toc522140513"</w:instrText>
      </w:r>
      <w:r>
        <w:rPr>
          <w:rStyle w:val="41"/>
          <w:rFonts w:hint="eastAsia" w:ascii="宋体" w:hAnsi="宋体" w:eastAsia="宋体" w:cs="宋体"/>
        </w:rPr>
        <w:instrText xml:space="preserve"> </w:instrText>
      </w:r>
      <w:r>
        <w:rPr>
          <w:rFonts w:hint="eastAsia" w:ascii="宋体" w:hAnsi="宋体" w:eastAsia="宋体" w:cs="宋体"/>
        </w:rPr>
        <w:fldChar w:fldCharType="separate"/>
      </w:r>
      <w:r>
        <w:rPr>
          <w:rStyle w:val="41"/>
          <w:rFonts w:hint="eastAsia" w:ascii="宋体" w:hAnsi="宋体" w:eastAsia="宋体" w:cs="宋体"/>
          <w:lang w:val="en-US" w:eastAsia="zh-CN"/>
        </w:rPr>
        <w:t>8</w:t>
      </w:r>
      <w:r>
        <w:rPr>
          <w:rStyle w:val="41"/>
          <w:rFonts w:hint="eastAsia" w:ascii="宋体" w:hAnsi="宋体" w:eastAsia="宋体" w:cs="宋体"/>
        </w:rPr>
        <w:t>.</w:t>
      </w:r>
      <w:r>
        <w:rPr>
          <w:rStyle w:val="41"/>
          <w:rFonts w:hint="eastAsia" w:ascii="宋体" w:hAnsi="宋体" w:eastAsia="宋体" w:cs="宋体"/>
          <w:lang w:val="en-US" w:eastAsia="zh-CN"/>
        </w:rPr>
        <w:t>1</w:t>
      </w:r>
      <w:r>
        <w:rPr>
          <w:rStyle w:val="41"/>
          <w:rFonts w:hint="eastAsia" w:ascii="宋体" w:hAnsi="宋体" w:eastAsia="宋体" w:cs="宋体"/>
        </w:rPr>
        <w:t>　</w:t>
      </w:r>
      <w:r>
        <w:rPr>
          <w:rStyle w:val="41"/>
          <w:rFonts w:hint="eastAsia" w:ascii="宋体" w:hAnsi="宋体" w:eastAsia="宋体" w:cs="宋体"/>
          <w:lang w:val="en-US" w:eastAsia="zh-CN"/>
        </w:rPr>
        <w:t>施工质量检查</w:t>
      </w:r>
      <w:r>
        <w:rPr>
          <w:rFonts w:hint="eastAsia" w:ascii="宋体" w:hAnsi="宋体" w:eastAsia="宋体" w:cs="宋体"/>
          <w:lang w:val="en-US" w:eastAsia="zh-CN"/>
        </w:rPr>
        <w:t>...................................................................</w:t>
      </w:r>
      <w:r>
        <w:rPr>
          <w:rFonts w:hint="eastAsia" w:ascii="宋体" w:hAnsi="宋体" w:cs="宋体"/>
          <w:lang w:val="en-US" w:eastAsia="zh-CN"/>
        </w:rPr>
        <w:t>1</w:t>
      </w:r>
      <w:r>
        <w:rPr>
          <w:rFonts w:hint="eastAsia" w:ascii="宋体" w:hAnsi="宋体" w:eastAsia="宋体" w:cs="宋体"/>
        </w:rPr>
        <w:fldChar w:fldCharType="end"/>
      </w:r>
      <w:r>
        <w:rPr>
          <w:rFonts w:hint="eastAsia" w:ascii="宋体" w:hAnsi="宋体" w:cs="宋体"/>
          <w:lang w:val="en-US" w:eastAsia="zh-CN"/>
        </w:rPr>
        <w:t>7</w:t>
      </w:r>
    </w:p>
    <w:p w14:paraId="288DEE04">
      <w:pPr>
        <w:rPr>
          <w:rFonts w:hint="eastAsia" w:ascii="宋体" w:hAnsi="宋体" w:eastAsia="宋体" w:cs="宋体"/>
          <w:lang w:val="en-US" w:eastAsia="zh-CN"/>
        </w:rPr>
      </w:pPr>
      <w:r>
        <w:rPr>
          <w:rFonts w:hint="eastAsia"/>
          <w:lang w:val="en-US" w:eastAsia="zh-CN"/>
        </w:rPr>
        <w:t xml:space="preserve">  </w:t>
      </w:r>
      <w:r>
        <w:rPr>
          <w:rFonts w:hint="eastAsia" w:ascii="宋体" w:hAnsi="宋体" w:eastAsia="宋体" w:cs="宋体"/>
        </w:rPr>
        <w:fldChar w:fldCharType="begin" w:fldLock="1"/>
      </w:r>
      <w:r>
        <w:rPr>
          <w:rStyle w:val="41"/>
          <w:rFonts w:hint="eastAsia" w:ascii="宋体" w:hAnsi="宋体" w:eastAsia="宋体" w:cs="宋体"/>
        </w:rPr>
        <w:instrText xml:space="preserve"> </w:instrText>
      </w:r>
      <w:r>
        <w:rPr>
          <w:rFonts w:hint="eastAsia" w:ascii="宋体" w:hAnsi="宋体" w:eastAsia="宋体" w:cs="宋体"/>
        </w:rPr>
        <w:instrText xml:space="preserve">HYPERLINK \l "_Toc522140513"</w:instrText>
      </w:r>
      <w:r>
        <w:rPr>
          <w:rStyle w:val="41"/>
          <w:rFonts w:hint="eastAsia" w:ascii="宋体" w:hAnsi="宋体" w:eastAsia="宋体" w:cs="宋体"/>
        </w:rPr>
        <w:instrText xml:space="preserve"> </w:instrText>
      </w:r>
      <w:r>
        <w:rPr>
          <w:rFonts w:hint="eastAsia" w:ascii="宋体" w:hAnsi="宋体" w:eastAsia="宋体" w:cs="宋体"/>
        </w:rPr>
        <w:fldChar w:fldCharType="separate"/>
      </w:r>
      <w:r>
        <w:rPr>
          <w:rStyle w:val="41"/>
          <w:rFonts w:hint="eastAsia" w:ascii="宋体" w:hAnsi="宋体" w:eastAsia="宋体" w:cs="宋体"/>
          <w:lang w:val="en-US" w:eastAsia="zh-CN"/>
        </w:rPr>
        <w:t>8</w:t>
      </w:r>
      <w:r>
        <w:rPr>
          <w:rStyle w:val="41"/>
          <w:rFonts w:hint="eastAsia" w:ascii="宋体" w:hAnsi="宋体" w:eastAsia="宋体" w:cs="宋体"/>
        </w:rPr>
        <w:t>.</w:t>
      </w:r>
      <w:r>
        <w:rPr>
          <w:rStyle w:val="41"/>
          <w:rFonts w:hint="eastAsia" w:ascii="宋体" w:hAnsi="宋体" w:eastAsia="宋体" w:cs="宋体"/>
          <w:lang w:val="en-US" w:eastAsia="zh-CN"/>
        </w:rPr>
        <w:t>2</w:t>
      </w:r>
      <w:r>
        <w:rPr>
          <w:rStyle w:val="41"/>
          <w:rFonts w:hint="eastAsia" w:ascii="宋体" w:hAnsi="宋体" w:eastAsia="宋体" w:cs="宋体"/>
        </w:rPr>
        <w:t>　</w:t>
      </w:r>
      <w:r>
        <w:rPr>
          <w:rStyle w:val="41"/>
          <w:rFonts w:hint="eastAsia" w:ascii="宋体" w:hAnsi="宋体" w:eastAsia="宋体" w:cs="宋体"/>
          <w:lang w:val="en-US" w:eastAsia="zh-CN"/>
        </w:rPr>
        <w:t>暗管排水工程验收</w:t>
      </w:r>
      <w:r>
        <w:rPr>
          <w:rFonts w:hint="eastAsia" w:ascii="宋体" w:hAnsi="宋体" w:eastAsia="宋体" w:cs="宋体"/>
          <w:lang w:val="en-US" w:eastAsia="zh-CN"/>
        </w:rPr>
        <w:t>...............................................................</w:t>
      </w:r>
      <w:r>
        <w:rPr>
          <w:rFonts w:hint="eastAsia" w:ascii="宋体" w:hAnsi="宋体" w:cs="宋体"/>
          <w:lang w:val="en-US" w:eastAsia="zh-CN"/>
        </w:rPr>
        <w:t>1</w:t>
      </w:r>
      <w:r>
        <w:rPr>
          <w:rFonts w:hint="eastAsia" w:ascii="宋体" w:hAnsi="宋体" w:eastAsia="宋体" w:cs="宋体"/>
        </w:rPr>
        <w:fldChar w:fldCharType="end"/>
      </w:r>
      <w:r>
        <w:rPr>
          <w:rFonts w:hint="eastAsia" w:ascii="宋体" w:hAnsi="宋体" w:cs="宋体"/>
          <w:lang w:val="en-US" w:eastAsia="zh-CN"/>
        </w:rPr>
        <w:t>8</w:t>
      </w:r>
    </w:p>
    <w:p w14:paraId="18FE26F4">
      <w:pPr>
        <w:pStyle w:val="21"/>
        <w:spacing w:before="78" w:after="78"/>
        <w:rPr>
          <w:rFonts w:hint="default" w:ascii="Calibri" w:eastAsia="宋体"/>
          <w:szCs w:val="22"/>
          <w:lang w:val="en-US" w:eastAsia="zh-CN"/>
        </w:rPr>
      </w:pPr>
      <w:r>
        <w:fldChar w:fldCharType="begin" w:fldLock="1"/>
      </w:r>
      <w:r>
        <w:rPr>
          <w:rStyle w:val="41"/>
        </w:rPr>
        <w:instrText xml:space="preserve"> </w:instrText>
      </w:r>
      <w:r>
        <w:instrText xml:space="preserve">HYPERLINK \l "_Toc522140515"</w:instrText>
      </w:r>
      <w:r>
        <w:rPr>
          <w:rStyle w:val="41"/>
        </w:rPr>
        <w:instrText xml:space="preserve"> </w:instrText>
      </w:r>
      <w:r>
        <w:fldChar w:fldCharType="separate"/>
      </w:r>
      <w:r>
        <w:rPr>
          <w:rStyle w:val="41"/>
        </w:rPr>
        <w:t>9</w:t>
      </w:r>
      <w:r>
        <w:rPr>
          <w:rStyle w:val="41"/>
          <w:rFonts w:hint="eastAsia"/>
        </w:rPr>
        <w:t>　工程</w:t>
      </w:r>
      <w:r>
        <w:rPr>
          <w:rStyle w:val="41"/>
          <w:rFonts w:hint="eastAsia"/>
          <w:lang w:val="en-US" w:eastAsia="zh-CN"/>
        </w:rPr>
        <w:t>运行</w:t>
      </w:r>
      <w:r>
        <w:rPr>
          <w:rStyle w:val="41"/>
          <w:rFonts w:hint="eastAsia"/>
        </w:rPr>
        <w:t>管理与维护</w:t>
      </w:r>
      <w:r>
        <w:tab/>
      </w:r>
      <w:r>
        <w:fldChar w:fldCharType="end"/>
      </w:r>
      <w:r>
        <w:rPr>
          <w:rFonts w:hint="eastAsia"/>
          <w:lang w:val="en-US" w:eastAsia="zh-CN"/>
        </w:rPr>
        <w:t>18</w:t>
      </w:r>
    </w:p>
    <w:p w14:paraId="2C9E7FFC">
      <w:pPr>
        <w:pStyle w:val="13"/>
        <w:ind w:firstLine="210"/>
        <w:rPr>
          <w:rFonts w:hint="default" w:ascii="Calibri" w:eastAsia="宋体"/>
          <w:szCs w:val="22"/>
          <w:lang w:val="en-US" w:eastAsia="zh-CN"/>
        </w:rPr>
      </w:pPr>
      <w:r>
        <w:fldChar w:fldCharType="begin" w:fldLock="1"/>
      </w:r>
      <w:r>
        <w:rPr>
          <w:rStyle w:val="41"/>
        </w:rPr>
        <w:instrText xml:space="preserve"> </w:instrText>
      </w:r>
      <w:r>
        <w:instrText xml:space="preserve">HYPERLINK \l "_Toc522140516"</w:instrText>
      </w:r>
      <w:r>
        <w:rPr>
          <w:rStyle w:val="41"/>
        </w:rPr>
        <w:instrText xml:space="preserve"> </w:instrText>
      </w:r>
      <w:r>
        <w:fldChar w:fldCharType="separate"/>
      </w:r>
      <w:r>
        <w:rPr>
          <w:rStyle w:val="41"/>
        </w:rPr>
        <w:t>9.1</w:t>
      </w:r>
      <w:r>
        <w:rPr>
          <w:rStyle w:val="41"/>
          <w:rFonts w:hint="eastAsia"/>
        </w:rPr>
        <w:t>　一般规定</w:t>
      </w:r>
      <w:r>
        <w:tab/>
      </w:r>
      <w:r>
        <w:fldChar w:fldCharType="end"/>
      </w:r>
      <w:r>
        <w:rPr>
          <w:rFonts w:hint="eastAsia"/>
          <w:lang w:val="en-US" w:eastAsia="zh-CN"/>
        </w:rPr>
        <w:t>18</w:t>
      </w:r>
    </w:p>
    <w:p w14:paraId="5C512776">
      <w:pPr>
        <w:pStyle w:val="13"/>
        <w:ind w:firstLine="210"/>
        <w:rPr>
          <w:rFonts w:hint="default" w:ascii="Calibri" w:eastAsia="宋体"/>
          <w:szCs w:val="22"/>
          <w:lang w:val="en-US" w:eastAsia="zh-CN"/>
        </w:rPr>
      </w:pPr>
      <w:r>
        <w:fldChar w:fldCharType="begin" w:fldLock="1"/>
      </w:r>
      <w:r>
        <w:rPr>
          <w:rStyle w:val="41"/>
        </w:rPr>
        <w:instrText xml:space="preserve"> </w:instrText>
      </w:r>
      <w:r>
        <w:instrText xml:space="preserve">HYPERLINK \l "_Toc522140517"</w:instrText>
      </w:r>
      <w:r>
        <w:rPr>
          <w:rStyle w:val="41"/>
        </w:rPr>
        <w:instrText xml:space="preserve"> </w:instrText>
      </w:r>
      <w:r>
        <w:fldChar w:fldCharType="separate"/>
      </w:r>
      <w:r>
        <w:rPr>
          <w:rStyle w:val="41"/>
        </w:rPr>
        <w:t>9.2</w:t>
      </w:r>
      <w:r>
        <w:rPr>
          <w:rStyle w:val="41"/>
          <w:rFonts w:hint="eastAsia"/>
        </w:rPr>
        <w:t>　维修养护</w:t>
      </w:r>
      <w:r>
        <w:tab/>
      </w:r>
      <w:r>
        <w:fldChar w:fldCharType="end"/>
      </w:r>
      <w:r>
        <w:rPr>
          <w:rFonts w:hint="eastAsia"/>
          <w:lang w:val="en-US" w:eastAsia="zh-CN"/>
        </w:rPr>
        <w:t>18</w:t>
      </w:r>
    </w:p>
    <w:p w14:paraId="47AA8764">
      <w:pPr>
        <w:pStyle w:val="13"/>
        <w:ind w:firstLine="210"/>
        <w:rPr>
          <w:rFonts w:hint="eastAsia" w:ascii="Calibri" w:eastAsia="宋体"/>
          <w:szCs w:val="22"/>
          <w:lang w:val="en-US" w:eastAsia="zh-CN"/>
        </w:rPr>
      </w:pPr>
      <w:r>
        <w:fldChar w:fldCharType="begin" w:fldLock="1"/>
      </w:r>
      <w:r>
        <w:rPr>
          <w:rStyle w:val="41"/>
        </w:rPr>
        <w:instrText xml:space="preserve"> </w:instrText>
      </w:r>
      <w:r>
        <w:instrText xml:space="preserve">HYPERLINK \l "_Toc522140518"</w:instrText>
      </w:r>
      <w:r>
        <w:rPr>
          <w:rStyle w:val="41"/>
        </w:rPr>
        <w:instrText xml:space="preserve"> </w:instrText>
      </w:r>
      <w:r>
        <w:fldChar w:fldCharType="separate"/>
      </w:r>
      <w:r>
        <w:rPr>
          <w:rStyle w:val="41"/>
        </w:rPr>
        <w:t>9.3</w:t>
      </w:r>
      <w:r>
        <w:rPr>
          <w:rStyle w:val="41"/>
          <w:rFonts w:hint="eastAsia"/>
        </w:rPr>
        <w:t>　运行管理</w:t>
      </w:r>
      <w:r>
        <w:tab/>
      </w:r>
      <w:r>
        <w:fldChar w:fldCharType="end"/>
      </w:r>
      <w:r>
        <w:rPr>
          <w:rFonts w:hint="eastAsia"/>
          <w:lang w:val="en-US" w:eastAsia="zh-CN"/>
        </w:rPr>
        <w:t>19</w:t>
      </w:r>
    </w:p>
    <w:p w14:paraId="5EAC004B">
      <w:pPr>
        <w:pStyle w:val="13"/>
        <w:ind w:firstLine="210"/>
        <w:rPr>
          <w:rFonts w:hint="default" w:ascii="Calibri" w:eastAsia="宋体"/>
          <w:szCs w:val="22"/>
          <w:lang w:val="en-US" w:eastAsia="zh-CN"/>
        </w:rPr>
      </w:pPr>
      <w:r>
        <w:fldChar w:fldCharType="begin" w:fldLock="1"/>
      </w:r>
      <w:r>
        <w:rPr>
          <w:rStyle w:val="41"/>
        </w:rPr>
        <w:instrText xml:space="preserve"> </w:instrText>
      </w:r>
      <w:r>
        <w:instrText xml:space="preserve">HYPERLINK \l "_Toc522140519"</w:instrText>
      </w:r>
      <w:r>
        <w:rPr>
          <w:rStyle w:val="41"/>
        </w:rPr>
        <w:instrText xml:space="preserve"> </w:instrText>
      </w:r>
      <w:r>
        <w:fldChar w:fldCharType="separate"/>
      </w:r>
      <w:r>
        <w:rPr>
          <w:rStyle w:val="41"/>
        </w:rPr>
        <w:t>9.4</w:t>
      </w:r>
      <w:r>
        <w:rPr>
          <w:rStyle w:val="41"/>
          <w:rFonts w:hint="eastAsia"/>
        </w:rPr>
        <w:t>　效果监测</w:t>
      </w:r>
      <w:r>
        <w:tab/>
      </w:r>
      <w:r>
        <w:fldChar w:fldCharType="end"/>
      </w:r>
      <w:r>
        <w:rPr>
          <w:rFonts w:hint="eastAsia"/>
          <w:lang w:val="en-US" w:eastAsia="zh-CN"/>
        </w:rPr>
        <w:t>19</w:t>
      </w:r>
    </w:p>
    <w:p w14:paraId="20FA880C">
      <w:pPr>
        <w:pStyle w:val="13"/>
        <w:ind w:firstLine="210"/>
        <w:rPr>
          <w:rFonts w:hint="default" w:ascii="Calibri" w:eastAsia="宋体"/>
          <w:szCs w:val="22"/>
          <w:lang w:val="en-US" w:eastAsia="zh-CN"/>
        </w:rPr>
      </w:pPr>
      <w:r>
        <w:fldChar w:fldCharType="begin" w:fldLock="1"/>
      </w:r>
      <w:r>
        <w:rPr>
          <w:rStyle w:val="41"/>
        </w:rPr>
        <w:instrText xml:space="preserve"> </w:instrText>
      </w:r>
      <w:r>
        <w:instrText xml:space="preserve">HYPERLINK \l "_Toc522140520"</w:instrText>
      </w:r>
      <w:r>
        <w:rPr>
          <w:rStyle w:val="41"/>
        </w:rPr>
        <w:instrText xml:space="preserve"> </w:instrText>
      </w:r>
      <w:r>
        <w:fldChar w:fldCharType="separate"/>
      </w:r>
      <w:r>
        <w:rPr>
          <w:rStyle w:val="41"/>
        </w:rPr>
        <w:t>9.5</w:t>
      </w:r>
      <w:r>
        <w:rPr>
          <w:rStyle w:val="41"/>
          <w:rFonts w:hint="eastAsia"/>
        </w:rPr>
        <w:t>　信息化管理</w:t>
      </w:r>
      <w:r>
        <w:tab/>
      </w:r>
      <w:r>
        <w:fldChar w:fldCharType="end"/>
      </w:r>
      <w:r>
        <w:rPr>
          <w:rFonts w:hint="eastAsia"/>
          <w:lang w:val="en-US" w:eastAsia="zh-CN"/>
        </w:rPr>
        <w:t>20</w:t>
      </w:r>
    </w:p>
    <w:p w14:paraId="5C1ECE98">
      <w:pPr>
        <w:pStyle w:val="21"/>
        <w:spacing w:before="78" w:after="78"/>
        <w:rPr>
          <w:rFonts w:hint="eastAsia" w:ascii="Calibri" w:eastAsia="宋体"/>
          <w:szCs w:val="22"/>
          <w:lang w:val="en-US" w:eastAsia="zh-CN"/>
        </w:rPr>
      </w:pPr>
      <w:r>
        <w:fldChar w:fldCharType="begin" w:fldLock="1"/>
      </w:r>
      <w:r>
        <w:rPr>
          <w:rStyle w:val="41"/>
        </w:rPr>
        <w:instrText xml:space="preserve"> </w:instrText>
      </w:r>
      <w:r>
        <w:instrText xml:space="preserve">HYPERLINK \l "_Toc522140521"</w:instrText>
      </w:r>
      <w:r>
        <w:rPr>
          <w:rStyle w:val="41"/>
        </w:rPr>
        <w:instrText xml:space="preserve"> </w:instrText>
      </w:r>
      <w:r>
        <w:fldChar w:fldCharType="separate"/>
      </w:r>
      <w:r>
        <w:rPr>
          <w:rStyle w:val="41"/>
          <w:rFonts w:hint="eastAsia"/>
        </w:rPr>
        <w:t>附录A（资料性附录）</w:t>
      </w:r>
      <w:r>
        <w:rPr>
          <w:rStyle w:val="41"/>
        </w:rPr>
        <w:t>　</w:t>
      </w:r>
      <w:r>
        <w:rPr>
          <w:rStyle w:val="41"/>
          <w:rFonts w:hint="eastAsia"/>
          <w:lang w:val="en-US" w:eastAsia="zh-CN"/>
        </w:rPr>
        <w:t>土壤剖面形状调查方法</w:t>
      </w:r>
      <w:r>
        <w:tab/>
      </w:r>
      <w:r>
        <w:rPr>
          <w:rFonts w:hint="eastAsia"/>
          <w:lang w:val="en-US" w:eastAsia="zh-CN"/>
        </w:rPr>
        <w:t>2</w:t>
      </w:r>
      <w:r>
        <w:fldChar w:fldCharType="end"/>
      </w:r>
      <w:r>
        <w:rPr>
          <w:rFonts w:hint="eastAsia"/>
          <w:lang w:val="en-US" w:eastAsia="zh-CN"/>
        </w:rPr>
        <w:t>1</w:t>
      </w:r>
    </w:p>
    <w:p w14:paraId="63746109">
      <w:pPr>
        <w:pStyle w:val="21"/>
        <w:spacing w:before="78" w:after="78"/>
        <w:rPr>
          <w:rFonts w:hint="eastAsia" w:ascii="Calibri" w:eastAsia="宋体"/>
          <w:szCs w:val="22"/>
          <w:lang w:val="en-US" w:eastAsia="zh-CN"/>
        </w:rPr>
      </w:pPr>
      <w:r>
        <w:fldChar w:fldCharType="begin" w:fldLock="1"/>
      </w:r>
      <w:r>
        <w:rPr>
          <w:rStyle w:val="41"/>
        </w:rPr>
        <w:instrText xml:space="preserve"> </w:instrText>
      </w:r>
      <w:r>
        <w:instrText xml:space="preserve">HYPERLINK \l "_Toc522140522"</w:instrText>
      </w:r>
      <w:r>
        <w:rPr>
          <w:rStyle w:val="41"/>
        </w:rPr>
        <w:instrText xml:space="preserve"> </w:instrText>
      </w:r>
      <w:r>
        <w:fldChar w:fldCharType="separate"/>
      </w:r>
      <w:r>
        <w:rPr>
          <w:rStyle w:val="41"/>
          <w:rFonts w:hint="eastAsia"/>
        </w:rPr>
        <w:t>附录B（资料性附录）</w:t>
      </w:r>
      <w:r>
        <w:rPr>
          <w:rStyle w:val="41"/>
        </w:rPr>
        <w:t>　</w:t>
      </w:r>
      <w:r>
        <w:rPr>
          <w:rStyle w:val="41"/>
          <w:rFonts w:hint="eastAsia"/>
          <w:lang w:val="en-US" w:eastAsia="zh-CN"/>
        </w:rPr>
        <w:t>土壤盐、碱化分级</w:t>
      </w:r>
      <w:r>
        <w:tab/>
      </w:r>
      <w:r>
        <w:rPr>
          <w:rFonts w:hint="eastAsia"/>
          <w:lang w:val="en-US" w:eastAsia="zh-CN"/>
        </w:rPr>
        <w:t>2</w:t>
      </w:r>
      <w:r>
        <w:fldChar w:fldCharType="end"/>
      </w:r>
      <w:r>
        <w:rPr>
          <w:rFonts w:hint="eastAsia"/>
          <w:lang w:val="en-US" w:eastAsia="zh-CN"/>
        </w:rPr>
        <w:t>3</w:t>
      </w:r>
    </w:p>
    <w:p w14:paraId="41E115A0">
      <w:pPr>
        <w:pStyle w:val="21"/>
        <w:spacing w:before="78" w:after="78"/>
        <w:rPr>
          <w:rFonts w:hint="eastAsia" w:ascii="Calibri" w:eastAsia="宋体"/>
          <w:szCs w:val="22"/>
          <w:lang w:val="en-US" w:eastAsia="zh-CN"/>
        </w:rPr>
      </w:pPr>
      <w:r>
        <w:fldChar w:fldCharType="begin" w:fldLock="1"/>
      </w:r>
      <w:r>
        <w:rPr>
          <w:rStyle w:val="41"/>
        </w:rPr>
        <w:instrText xml:space="preserve"> </w:instrText>
      </w:r>
      <w:r>
        <w:instrText xml:space="preserve">HYPERLINK \l "_Toc522140523"</w:instrText>
      </w:r>
      <w:r>
        <w:rPr>
          <w:rStyle w:val="41"/>
        </w:rPr>
        <w:instrText xml:space="preserve"> </w:instrText>
      </w:r>
      <w:r>
        <w:fldChar w:fldCharType="separate"/>
      </w:r>
      <w:r>
        <w:rPr>
          <w:rStyle w:val="41"/>
          <w:rFonts w:hint="eastAsia"/>
        </w:rPr>
        <w:t>附录C（资料性附录）</w:t>
      </w:r>
      <w:r>
        <w:rPr>
          <w:rStyle w:val="41"/>
        </w:rPr>
        <w:t>　</w:t>
      </w:r>
      <w:r>
        <w:rPr>
          <w:rStyle w:val="41"/>
          <w:rFonts w:hint="eastAsia"/>
          <w:lang w:val="en-US" w:eastAsia="zh-CN"/>
        </w:rPr>
        <w:t>渗透系数的野外测定方法</w:t>
      </w:r>
      <w:r>
        <w:tab/>
      </w:r>
      <w:r>
        <w:rPr>
          <w:rFonts w:hint="eastAsia"/>
        </w:rPr>
        <w:t>2</w:t>
      </w:r>
      <w:r>
        <w:fldChar w:fldCharType="end"/>
      </w:r>
      <w:r>
        <w:rPr>
          <w:rFonts w:hint="eastAsia"/>
          <w:lang w:val="en-US" w:eastAsia="zh-CN"/>
        </w:rPr>
        <w:t>4</w:t>
      </w:r>
    </w:p>
    <w:p w14:paraId="54F40E0B">
      <w:pPr>
        <w:pStyle w:val="21"/>
        <w:spacing w:before="78" w:after="78"/>
        <w:rPr>
          <w:rFonts w:hint="default" w:ascii="Calibri" w:eastAsia="宋体"/>
          <w:szCs w:val="22"/>
          <w:lang w:val="en-US" w:eastAsia="zh-CN"/>
        </w:rPr>
      </w:pPr>
      <w:r>
        <w:fldChar w:fldCharType="begin" w:fldLock="1"/>
      </w:r>
      <w:r>
        <w:rPr>
          <w:rStyle w:val="41"/>
        </w:rPr>
        <w:instrText xml:space="preserve"> </w:instrText>
      </w:r>
      <w:r>
        <w:instrText xml:space="preserve">HYPERLINK \l "_Toc522140524"</w:instrText>
      </w:r>
      <w:r>
        <w:rPr>
          <w:rStyle w:val="41"/>
        </w:rPr>
        <w:instrText xml:space="preserve"> </w:instrText>
      </w:r>
      <w:r>
        <w:fldChar w:fldCharType="separate"/>
      </w:r>
      <w:r>
        <w:rPr>
          <w:rStyle w:val="41"/>
          <w:rFonts w:hint="eastAsia"/>
        </w:rPr>
        <w:t>附录D（资料性附录）</w:t>
      </w:r>
      <w:r>
        <w:rPr>
          <w:rStyle w:val="41"/>
        </w:rPr>
        <w:t>　</w:t>
      </w:r>
      <w:r>
        <w:rPr>
          <w:rStyle w:val="41"/>
          <w:rFonts w:hint="eastAsia"/>
          <w:lang w:val="en-US" w:eastAsia="zh-CN"/>
        </w:rPr>
        <w:t>给水度的野外测定方法</w:t>
      </w:r>
      <w:r>
        <w:tab/>
      </w:r>
      <w:r>
        <w:fldChar w:fldCharType="end"/>
      </w:r>
      <w:r>
        <w:rPr>
          <w:rFonts w:hint="eastAsia"/>
          <w:lang w:val="en-US" w:eastAsia="zh-CN"/>
        </w:rPr>
        <w:t>26</w:t>
      </w:r>
    </w:p>
    <w:p w14:paraId="6E44E89C">
      <w:pPr>
        <w:pStyle w:val="21"/>
        <w:spacing w:before="78" w:after="78"/>
        <w:rPr>
          <w:rFonts w:hint="default" w:ascii="Calibri" w:eastAsia="宋体"/>
          <w:szCs w:val="22"/>
          <w:lang w:val="en-US" w:eastAsia="zh-CN"/>
        </w:rPr>
      </w:pPr>
      <w:r>
        <w:fldChar w:fldCharType="begin" w:fldLock="1"/>
      </w:r>
      <w:r>
        <w:rPr>
          <w:rStyle w:val="41"/>
        </w:rPr>
        <w:instrText xml:space="preserve"> </w:instrText>
      </w:r>
      <w:r>
        <w:instrText xml:space="preserve">HYPERLINK \l "_Toc522140525"</w:instrText>
      </w:r>
      <w:r>
        <w:rPr>
          <w:rStyle w:val="41"/>
        </w:rPr>
        <w:instrText xml:space="preserve"> </w:instrText>
      </w:r>
      <w:r>
        <w:fldChar w:fldCharType="separate"/>
      </w:r>
      <w:r>
        <w:rPr>
          <w:rStyle w:val="41"/>
          <w:rFonts w:hint="eastAsia"/>
        </w:rPr>
        <w:t>附录E（资料性附录）</w:t>
      </w:r>
      <w:r>
        <w:rPr>
          <w:rStyle w:val="41"/>
        </w:rPr>
        <w:t>　</w:t>
      </w:r>
      <w:r>
        <w:rPr>
          <w:rStyle w:val="41"/>
          <w:rFonts w:hint="eastAsia"/>
        </w:rPr>
        <w:t>地下水矿化度和地下水临界深度测定方法</w:t>
      </w:r>
      <w:r>
        <w:tab/>
      </w:r>
      <w:r>
        <w:fldChar w:fldCharType="end"/>
      </w:r>
      <w:r>
        <w:rPr>
          <w:rFonts w:hint="eastAsia"/>
          <w:lang w:val="en-US" w:eastAsia="zh-CN"/>
        </w:rPr>
        <w:t>28</w:t>
      </w:r>
    </w:p>
    <w:p w14:paraId="448B73A7">
      <w:pPr>
        <w:pStyle w:val="21"/>
        <w:spacing w:before="78" w:after="78"/>
        <w:rPr>
          <w:rFonts w:hint="default" w:ascii="Calibri" w:eastAsia="宋体"/>
          <w:szCs w:val="22"/>
          <w:lang w:val="en-US" w:eastAsia="zh-CN"/>
        </w:rPr>
      </w:pPr>
      <w:r>
        <w:fldChar w:fldCharType="begin" w:fldLock="1"/>
      </w:r>
      <w:r>
        <w:rPr>
          <w:rStyle w:val="41"/>
        </w:rPr>
        <w:instrText xml:space="preserve"> </w:instrText>
      </w:r>
      <w:r>
        <w:instrText xml:space="preserve">HYPERLINK \l "_Toc522140526"</w:instrText>
      </w:r>
      <w:r>
        <w:rPr>
          <w:rStyle w:val="41"/>
        </w:rPr>
        <w:instrText xml:space="preserve"> </w:instrText>
      </w:r>
      <w:r>
        <w:fldChar w:fldCharType="separate"/>
      </w:r>
      <w:r>
        <w:rPr>
          <w:rStyle w:val="41"/>
          <w:rFonts w:hint="eastAsia"/>
        </w:rPr>
        <w:t>附录F（资料性附录）</w:t>
      </w:r>
      <w:r>
        <w:rPr>
          <w:rStyle w:val="41"/>
        </w:rPr>
        <w:t>　</w:t>
      </w:r>
      <w:r>
        <w:rPr>
          <w:rStyle w:val="41"/>
          <w:rFonts w:hint="eastAsia"/>
          <w:lang w:val="en-US" w:eastAsia="zh-CN"/>
        </w:rPr>
        <w:t>农作物耐淹水深和耐淹历时</w:t>
      </w:r>
      <w:r>
        <w:tab/>
      </w:r>
      <w:r>
        <w:fldChar w:fldCharType="end"/>
      </w:r>
      <w:r>
        <w:rPr>
          <w:rFonts w:hint="eastAsia"/>
          <w:lang w:val="en-US" w:eastAsia="zh-CN"/>
        </w:rPr>
        <w:t>29</w:t>
      </w:r>
    </w:p>
    <w:p w14:paraId="151AD3AD">
      <w:pPr>
        <w:pStyle w:val="21"/>
        <w:spacing w:before="78" w:after="78"/>
        <w:rPr>
          <w:rFonts w:hint="default" w:ascii="Calibri" w:eastAsia="宋体"/>
          <w:szCs w:val="22"/>
          <w:lang w:val="en-US" w:eastAsia="zh-CN"/>
        </w:rPr>
      </w:pPr>
      <w:r>
        <w:fldChar w:fldCharType="begin" w:fldLock="1"/>
      </w:r>
      <w:r>
        <w:rPr>
          <w:rStyle w:val="41"/>
        </w:rPr>
        <w:instrText xml:space="preserve"> </w:instrText>
      </w:r>
      <w:r>
        <w:instrText xml:space="preserve">HYPERLINK \l "_Toc522140527"</w:instrText>
      </w:r>
      <w:r>
        <w:rPr>
          <w:rStyle w:val="41"/>
        </w:rPr>
        <w:instrText xml:space="preserve"> </w:instrText>
      </w:r>
      <w:r>
        <w:fldChar w:fldCharType="separate"/>
      </w:r>
      <w:r>
        <w:rPr>
          <w:rStyle w:val="41"/>
          <w:rFonts w:hint="eastAsia"/>
        </w:rPr>
        <w:t>附录G（资料性附录）</w:t>
      </w:r>
      <w:r>
        <w:rPr>
          <w:rStyle w:val="41"/>
        </w:rPr>
        <w:t>　</w:t>
      </w:r>
      <w:r>
        <w:rPr>
          <w:rStyle w:val="41"/>
          <w:rFonts w:hint="eastAsia"/>
        </w:rPr>
        <w:t>调控地下水位的吸水管间距计算公式</w:t>
      </w:r>
      <w:r>
        <w:tab/>
      </w:r>
      <w:r>
        <w:fldChar w:fldCharType="end"/>
      </w:r>
      <w:r>
        <w:rPr>
          <w:rFonts w:hint="eastAsia"/>
          <w:lang w:val="en-US" w:eastAsia="zh-CN"/>
        </w:rPr>
        <w:t>30</w:t>
      </w:r>
    </w:p>
    <w:p w14:paraId="51A5AAD8">
      <w:pPr>
        <w:pStyle w:val="21"/>
        <w:spacing w:before="78" w:after="78"/>
        <w:rPr>
          <w:rFonts w:hint="default" w:ascii="Calibri" w:eastAsia="宋体"/>
          <w:szCs w:val="22"/>
          <w:lang w:val="en-US" w:eastAsia="zh-CN"/>
        </w:rPr>
      </w:pPr>
      <w:r>
        <w:fldChar w:fldCharType="begin" w:fldLock="1"/>
      </w:r>
      <w:r>
        <w:rPr>
          <w:rStyle w:val="41"/>
        </w:rPr>
        <w:instrText xml:space="preserve"> </w:instrText>
      </w:r>
      <w:r>
        <w:instrText xml:space="preserve">HYPERLINK \l "_Toc522140528"</w:instrText>
      </w:r>
      <w:r>
        <w:rPr>
          <w:rStyle w:val="41"/>
        </w:rPr>
        <w:instrText xml:space="preserve"> </w:instrText>
      </w:r>
      <w:r>
        <w:fldChar w:fldCharType="separate"/>
      </w:r>
      <w:r>
        <w:rPr>
          <w:rStyle w:val="41"/>
          <w:rFonts w:hint="eastAsia"/>
        </w:rPr>
        <w:t>附录H（资料性附录）</w:t>
      </w:r>
      <w:r>
        <w:rPr>
          <w:rStyle w:val="41"/>
        </w:rPr>
        <w:t>　</w:t>
      </w:r>
      <w:r>
        <w:rPr>
          <w:rStyle w:val="41"/>
          <w:rFonts w:hint="eastAsia"/>
        </w:rPr>
        <w:t>管道设计中与充盈度有关的系数确定方法</w:t>
      </w:r>
      <w:r>
        <w:tab/>
      </w:r>
      <w:r>
        <w:fldChar w:fldCharType="end"/>
      </w:r>
      <w:r>
        <w:rPr>
          <w:rFonts w:hint="eastAsia"/>
          <w:lang w:val="en-US" w:eastAsia="zh-CN"/>
        </w:rPr>
        <w:t>33</w:t>
      </w:r>
    </w:p>
    <w:p w14:paraId="3C27C154">
      <w:pPr>
        <w:pStyle w:val="21"/>
        <w:spacing w:before="78" w:after="78"/>
        <w:rPr>
          <w:rFonts w:hint="default" w:ascii="Calibri" w:eastAsia="宋体"/>
          <w:szCs w:val="22"/>
          <w:lang w:val="en-US" w:eastAsia="zh-CN"/>
        </w:rPr>
      </w:pPr>
      <w:r>
        <w:fldChar w:fldCharType="begin" w:fldLock="1"/>
      </w:r>
      <w:r>
        <w:rPr>
          <w:rStyle w:val="41"/>
        </w:rPr>
        <w:instrText xml:space="preserve"> </w:instrText>
      </w:r>
      <w:r>
        <w:instrText xml:space="preserve">HYPERLINK \l "_Toc522140529"</w:instrText>
      </w:r>
      <w:r>
        <w:rPr>
          <w:rStyle w:val="41"/>
        </w:rPr>
        <w:instrText xml:space="preserve"> </w:instrText>
      </w:r>
      <w:r>
        <w:fldChar w:fldCharType="separate"/>
      </w:r>
      <w:r>
        <w:rPr>
          <w:rStyle w:val="41"/>
          <w:rFonts w:hint="eastAsia"/>
        </w:rPr>
        <w:t>附录I（资料性附录）</w:t>
      </w:r>
      <w:r>
        <w:rPr>
          <w:rStyle w:val="41"/>
        </w:rPr>
        <w:t>　</w:t>
      </w:r>
      <w:r>
        <w:rPr>
          <w:rFonts w:hint="eastAsia" w:hAnsi="Times New Roman" w:cs="Times New Roman"/>
        </w:rPr>
        <w:t>土壤淤积倾向判别方法与标准</w:t>
      </w:r>
      <w:r>
        <w:tab/>
      </w:r>
      <w:r>
        <w:fldChar w:fldCharType="end"/>
      </w:r>
      <w:r>
        <w:rPr>
          <w:rFonts w:hint="eastAsia"/>
          <w:lang w:val="en-US" w:eastAsia="zh-CN"/>
        </w:rPr>
        <w:t>34</w:t>
      </w:r>
    </w:p>
    <w:p w14:paraId="3BE4EF8D">
      <w:pPr>
        <w:pStyle w:val="21"/>
        <w:spacing w:before="78" w:after="78"/>
        <w:rPr>
          <w:rFonts w:hint="default" w:ascii="Calibri" w:eastAsia="宋体"/>
          <w:szCs w:val="22"/>
          <w:lang w:val="en-US" w:eastAsia="zh-CN"/>
        </w:rPr>
      </w:pPr>
      <w:r>
        <w:fldChar w:fldCharType="begin" w:fldLock="1"/>
      </w:r>
      <w:r>
        <w:rPr>
          <w:rStyle w:val="41"/>
        </w:rPr>
        <w:instrText xml:space="preserve"> </w:instrText>
      </w:r>
      <w:r>
        <w:instrText xml:space="preserve">HYPERLINK \l "_Toc522140530"</w:instrText>
      </w:r>
      <w:r>
        <w:rPr>
          <w:rStyle w:val="41"/>
        </w:rPr>
        <w:instrText xml:space="preserve"> </w:instrText>
      </w:r>
      <w:r>
        <w:fldChar w:fldCharType="separate"/>
      </w:r>
      <w:r>
        <w:rPr>
          <w:rStyle w:val="41"/>
          <w:rFonts w:hint="eastAsia"/>
        </w:rPr>
        <w:t>附录J（资料性附录）</w:t>
      </w:r>
      <w:r>
        <w:rPr>
          <w:rStyle w:val="41"/>
        </w:rPr>
        <w:t>　</w:t>
      </w:r>
      <w:r>
        <w:rPr>
          <w:rFonts w:hint="eastAsia"/>
        </w:rPr>
        <w:t>砂滤料设计方法</w:t>
      </w:r>
      <w:r>
        <w:tab/>
      </w:r>
      <w:r>
        <w:fldChar w:fldCharType="end"/>
      </w:r>
      <w:r>
        <w:rPr>
          <w:rFonts w:hint="eastAsia"/>
          <w:lang w:val="en-US" w:eastAsia="zh-CN"/>
        </w:rPr>
        <w:t>35</w:t>
      </w:r>
    </w:p>
    <w:p w14:paraId="5F9B9990">
      <w:pPr>
        <w:pStyle w:val="21"/>
        <w:spacing w:before="78" w:after="78"/>
        <w:rPr>
          <w:rFonts w:hint="default" w:ascii="Calibri" w:eastAsia="宋体"/>
          <w:szCs w:val="22"/>
          <w:lang w:val="en-US" w:eastAsia="zh-CN"/>
        </w:rPr>
      </w:pPr>
      <w:r>
        <w:fldChar w:fldCharType="begin" w:fldLock="1"/>
      </w:r>
      <w:r>
        <w:rPr>
          <w:rStyle w:val="41"/>
        </w:rPr>
        <w:instrText xml:space="preserve"> </w:instrText>
      </w:r>
      <w:r>
        <w:instrText xml:space="preserve">HYPERLINK \l "_Toc522140531"</w:instrText>
      </w:r>
      <w:r>
        <w:rPr>
          <w:rStyle w:val="41"/>
        </w:rPr>
        <w:instrText xml:space="preserve"> </w:instrText>
      </w:r>
      <w:r>
        <w:fldChar w:fldCharType="separate"/>
      </w:r>
      <w:r>
        <w:rPr>
          <w:rStyle w:val="41"/>
          <w:rFonts w:hint="eastAsia"/>
        </w:rPr>
        <w:t>附录K（资料性附录）</w:t>
      </w:r>
      <w:r>
        <w:rPr>
          <w:rStyle w:val="41"/>
        </w:rPr>
        <w:t>　</w:t>
      </w:r>
      <w:r>
        <w:rPr>
          <w:rFonts w:hint="eastAsia"/>
        </w:rPr>
        <w:t>管材规格尺寸与物理力学性能</w:t>
      </w:r>
      <w:r>
        <w:tab/>
      </w:r>
      <w:r>
        <w:fldChar w:fldCharType="end"/>
      </w:r>
      <w:r>
        <w:rPr>
          <w:rFonts w:hint="eastAsia"/>
          <w:lang w:val="en-US" w:eastAsia="zh-CN"/>
        </w:rPr>
        <w:t>36</w:t>
      </w:r>
    </w:p>
    <w:p w14:paraId="7DFA737B">
      <w:pPr>
        <w:pStyle w:val="21"/>
        <w:spacing w:before="78" w:after="78"/>
        <w:rPr>
          <w:rFonts w:hint="default" w:ascii="Calibri" w:eastAsia="宋体"/>
          <w:szCs w:val="22"/>
          <w:lang w:val="en-US" w:eastAsia="zh-CN"/>
        </w:rPr>
      </w:pPr>
      <w:r>
        <w:fldChar w:fldCharType="begin" w:fldLock="1"/>
      </w:r>
      <w:r>
        <w:rPr>
          <w:rStyle w:val="41"/>
        </w:rPr>
        <w:instrText xml:space="preserve"> </w:instrText>
      </w:r>
      <w:r>
        <w:instrText xml:space="preserve">HYPERLINK \l "_Toc522140532"</w:instrText>
      </w:r>
      <w:r>
        <w:rPr>
          <w:rStyle w:val="41"/>
        </w:rPr>
        <w:instrText xml:space="preserve"> </w:instrText>
      </w:r>
      <w:r>
        <w:fldChar w:fldCharType="separate"/>
      </w:r>
      <w:r>
        <w:rPr>
          <w:rStyle w:val="41"/>
          <w:rFonts w:hint="eastAsia"/>
        </w:rPr>
        <w:t>附录L（资料性附录）</w:t>
      </w:r>
      <w:r>
        <w:rPr>
          <w:rStyle w:val="41"/>
        </w:rPr>
        <w:t>　</w:t>
      </w:r>
      <w:r>
        <w:rPr>
          <w:rFonts w:hint="eastAsia"/>
        </w:rPr>
        <w:t>暗管清淤机的操作要点</w:t>
      </w:r>
      <w:r>
        <w:tab/>
      </w:r>
      <w:r>
        <w:fldChar w:fldCharType="end"/>
      </w:r>
      <w:r>
        <w:rPr>
          <w:rFonts w:hint="eastAsia"/>
          <w:lang w:val="en-US" w:eastAsia="zh-CN"/>
        </w:rPr>
        <w:t>37</w:t>
      </w:r>
    </w:p>
    <w:p w14:paraId="6DCB70CE">
      <w:pPr>
        <w:pStyle w:val="21"/>
        <w:spacing w:before="78" w:after="78"/>
        <w:rPr>
          <w:rFonts w:hint="default" w:ascii="Calibri" w:eastAsia="宋体"/>
          <w:szCs w:val="22"/>
          <w:lang w:val="en-US" w:eastAsia="zh-CN"/>
        </w:rPr>
      </w:pPr>
      <w:r>
        <w:fldChar w:fldCharType="begin" w:fldLock="1"/>
      </w:r>
      <w:r>
        <w:rPr>
          <w:rStyle w:val="41"/>
        </w:rPr>
        <w:instrText xml:space="preserve"> </w:instrText>
      </w:r>
      <w:r>
        <w:instrText xml:space="preserve">HYPERLINK \l "_Toc522140533"</w:instrText>
      </w:r>
      <w:r>
        <w:rPr>
          <w:rStyle w:val="41"/>
        </w:rPr>
        <w:instrText xml:space="preserve"> </w:instrText>
      </w:r>
      <w:r>
        <w:fldChar w:fldCharType="separate"/>
      </w:r>
      <w:r>
        <w:rPr>
          <w:rStyle w:val="41"/>
          <w:rFonts w:hint="eastAsia"/>
        </w:rPr>
        <w:t>附录M（</w:t>
      </w:r>
      <w:r>
        <w:rPr>
          <w:rStyle w:val="41"/>
          <w:rFonts w:hint="eastAsia"/>
          <w:lang w:val="en-US" w:eastAsia="zh-CN"/>
        </w:rPr>
        <w:t>应用性</w:t>
      </w:r>
      <w:r>
        <w:rPr>
          <w:rStyle w:val="41"/>
          <w:rFonts w:hint="eastAsia"/>
        </w:rPr>
        <w:t>附录）</w:t>
      </w:r>
      <w:r>
        <w:rPr>
          <w:rStyle w:val="41"/>
        </w:rPr>
        <w:t>　</w:t>
      </w:r>
      <w:r>
        <w:rPr>
          <w:rFonts w:hint="eastAsia"/>
          <w:shd w:val="clear" w:color="auto" w:fill="auto"/>
        </w:rPr>
        <w:t>暗管排水设计</w:t>
      </w:r>
      <w:r>
        <w:rPr>
          <w:rFonts w:hint="eastAsia"/>
          <w:shd w:val="clear" w:color="auto" w:fill="auto"/>
          <w:lang w:val="en-US" w:eastAsia="zh-CN"/>
        </w:rPr>
        <w:t>流程与计算框图（VBA程序)</w:t>
      </w:r>
      <w:r>
        <w:tab/>
      </w:r>
      <w:r>
        <w:fldChar w:fldCharType="end"/>
      </w:r>
      <w:r>
        <w:rPr>
          <w:rFonts w:hint="eastAsia"/>
          <w:lang w:val="en-US" w:eastAsia="zh-CN"/>
        </w:rPr>
        <w:t>38</w:t>
      </w:r>
    </w:p>
    <w:p w14:paraId="5C1D5DDE">
      <w:pPr>
        <w:pStyle w:val="13"/>
        <w:ind w:firstLine="210"/>
        <w:rPr>
          <w:rFonts w:hint="default" w:eastAsia="宋体"/>
          <w:lang w:val="en-US" w:eastAsia="zh-CN"/>
        </w:rPr>
      </w:pPr>
      <w:r>
        <w:rPr>
          <w:rFonts w:hint="eastAsia"/>
          <w:lang w:val="en-US" w:eastAsia="zh-CN"/>
        </w:rPr>
        <w:t>用词说明.......</w:t>
      </w:r>
      <w:r>
        <w:fldChar w:fldCharType="begin" w:fldLock="1"/>
      </w:r>
      <w:r>
        <w:rPr>
          <w:rStyle w:val="41"/>
        </w:rPr>
        <w:instrText xml:space="preserve"> </w:instrText>
      </w:r>
      <w:r>
        <w:instrText xml:space="preserve">HYPERLINK \l "_Toc522140538"</w:instrText>
      </w:r>
      <w:r>
        <w:rPr>
          <w:rStyle w:val="41"/>
        </w:rPr>
        <w:instrText xml:space="preserve"> </w:instrText>
      </w:r>
      <w:r>
        <w:fldChar w:fldCharType="separate"/>
      </w:r>
      <w:r>
        <w:tab/>
      </w:r>
      <w:r>
        <w:fldChar w:fldCharType="end"/>
      </w:r>
      <w:r>
        <w:rPr>
          <w:rFonts w:hint="eastAsia"/>
          <w:lang w:val="en-US" w:eastAsia="zh-CN"/>
        </w:rPr>
        <w:t>41</w:t>
      </w:r>
    </w:p>
    <w:p w14:paraId="0A98B7E5">
      <w:pPr>
        <w:pStyle w:val="13"/>
        <w:ind w:firstLine="210"/>
        <w:rPr>
          <w:rFonts w:hint="default" w:ascii="Calibri" w:eastAsia="宋体"/>
          <w:szCs w:val="22"/>
          <w:lang w:val="en-US" w:eastAsia="zh-CN"/>
        </w:rPr>
      </w:pPr>
      <w:r>
        <w:fldChar w:fldCharType="begin" w:fldLock="1"/>
      </w:r>
      <w:r>
        <w:rPr>
          <w:rStyle w:val="41"/>
        </w:rPr>
        <w:instrText xml:space="preserve"> </w:instrText>
      </w:r>
      <w:r>
        <w:instrText xml:space="preserve">HYPERLINK \l "_Toc522140538"</w:instrText>
      </w:r>
      <w:r>
        <w:rPr>
          <w:rStyle w:val="41"/>
        </w:rPr>
        <w:instrText xml:space="preserve"> </w:instrText>
      </w:r>
      <w:r>
        <w:fldChar w:fldCharType="separate"/>
      </w:r>
      <w:r>
        <w:rPr>
          <w:rStyle w:val="41"/>
          <w:rFonts w:hint="eastAsia"/>
        </w:rPr>
        <w:t>条文说明</w:t>
      </w:r>
      <w:r>
        <w:tab/>
      </w:r>
      <w:r>
        <w:fldChar w:fldCharType="end"/>
      </w:r>
      <w:r>
        <w:rPr>
          <w:rFonts w:hint="eastAsia"/>
          <w:lang w:val="en-US" w:eastAsia="zh-CN"/>
        </w:rPr>
        <w:t>42</w:t>
      </w:r>
    </w:p>
    <w:p w14:paraId="411FC82F">
      <w:pPr>
        <w:pStyle w:val="22"/>
        <w:ind w:firstLine="420"/>
        <w:rPr>
          <w:rFonts w:hint="eastAsia" w:ascii="Calibri" w:eastAsia="宋体"/>
          <w:szCs w:val="22"/>
          <w:lang w:val="en-US" w:eastAsia="zh-CN"/>
        </w:rPr>
      </w:pPr>
      <w:r>
        <w:fldChar w:fldCharType="begin" w:fldLock="1"/>
      </w:r>
      <w:r>
        <w:rPr>
          <w:rStyle w:val="41"/>
        </w:rPr>
        <w:instrText xml:space="preserve"> </w:instrText>
      </w:r>
      <w:r>
        <w:instrText xml:space="preserve">HYPERLINK \l "_Toc522140539"</w:instrText>
      </w:r>
      <w:r>
        <w:rPr>
          <w:rStyle w:val="41"/>
        </w:rPr>
        <w:instrText xml:space="preserve"> </w:instrText>
      </w:r>
      <w:r>
        <w:fldChar w:fldCharType="separate"/>
      </w:r>
      <w:r>
        <w:rPr>
          <w:rStyle w:val="41"/>
        </w:rPr>
        <w:t>1　</w:t>
      </w:r>
      <w:r>
        <w:rPr>
          <w:rStyle w:val="41"/>
          <w:rFonts w:hint="eastAsia"/>
          <w:lang w:val="en-US" w:eastAsia="zh-CN"/>
        </w:rPr>
        <w:t>范</w:t>
      </w:r>
      <w:r>
        <w:rPr>
          <w:rStyle w:val="41"/>
        </w:rPr>
        <w:t>　</w:t>
      </w:r>
      <w:r>
        <w:rPr>
          <w:rStyle w:val="41"/>
          <w:rFonts w:hint="eastAsia"/>
          <w:lang w:val="en-US" w:eastAsia="zh-CN"/>
        </w:rPr>
        <w:t>围</w:t>
      </w:r>
      <w:r>
        <w:tab/>
      </w:r>
      <w:r>
        <w:rPr>
          <w:rFonts w:hint="eastAsia"/>
          <w:lang w:val="en-US" w:eastAsia="zh-CN"/>
        </w:rPr>
        <w:t>4</w:t>
      </w:r>
      <w:r>
        <w:fldChar w:fldCharType="end"/>
      </w:r>
      <w:r>
        <w:rPr>
          <w:rFonts w:hint="eastAsia"/>
          <w:lang w:val="en-US" w:eastAsia="zh-CN"/>
        </w:rPr>
        <w:t>2</w:t>
      </w:r>
    </w:p>
    <w:p w14:paraId="5B1FF5F2">
      <w:pPr>
        <w:pStyle w:val="22"/>
        <w:ind w:firstLine="420"/>
        <w:rPr>
          <w:rFonts w:hint="eastAsia" w:ascii="Calibri" w:eastAsia="宋体"/>
          <w:szCs w:val="22"/>
          <w:lang w:val="en-US" w:eastAsia="zh-CN"/>
        </w:rPr>
      </w:pPr>
      <w:r>
        <w:fldChar w:fldCharType="begin" w:fldLock="1"/>
      </w:r>
      <w:r>
        <w:rPr>
          <w:rStyle w:val="41"/>
        </w:rPr>
        <w:instrText xml:space="preserve"> </w:instrText>
      </w:r>
      <w:r>
        <w:instrText xml:space="preserve">HYPERLINK \l "_Toc522140540"</w:instrText>
      </w:r>
      <w:r>
        <w:rPr>
          <w:rStyle w:val="41"/>
        </w:rPr>
        <w:instrText xml:space="preserve"> </w:instrText>
      </w:r>
      <w:r>
        <w:fldChar w:fldCharType="separate"/>
      </w:r>
      <w:r>
        <w:rPr>
          <w:rStyle w:val="41"/>
        </w:rPr>
        <w:t>2　</w:t>
      </w:r>
      <w:r>
        <w:rPr>
          <w:rStyle w:val="41"/>
          <w:rFonts w:hint="eastAsia"/>
        </w:rPr>
        <w:t>规范性引用文件</w:t>
      </w:r>
      <w:r>
        <w:tab/>
      </w:r>
      <w:r>
        <w:rPr>
          <w:rFonts w:hint="eastAsia"/>
          <w:lang w:val="en-US" w:eastAsia="zh-CN"/>
        </w:rPr>
        <w:t>4</w:t>
      </w:r>
      <w:r>
        <w:fldChar w:fldCharType="end"/>
      </w:r>
      <w:r>
        <w:rPr>
          <w:rFonts w:hint="eastAsia"/>
          <w:lang w:val="en-US" w:eastAsia="zh-CN"/>
        </w:rPr>
        <w:t>2</w:t>
      </w:r>
    </w:p>
    <w:p w14:paraId="7C4D2251">
      <w:pPr>
        <w:pStyle w:val="22"/>
        <w:ind w:firstLine="420"/>
        <w:rPr>
          <w:rFonts w:hint="eastAsia" w:ascii="Calibri" w:eastAsia="宋体"/>
          <w:szCs w:val="22"/>
          <w:lang w:val="en-US" w:eastAsia="zh-CN"/>
        </w:rPr>
      </w:pPr>
      <w:r>
        <w:fldChar w:fldCharType="begin" w:fldLock="1"/>
      </w:r>
      <w:r>
        <w:rPr>
          <w:rStyle w:val="41"/>
        </w:rPr>
        <w:instrText xml:space="preserve"> </w:instrText>
      </w:r>
      <w:r>
        <w:instrText xml:space="preserve">HYPERLINK \l "_Toc522140541"</w:instrText>
      </w:r>
      <w:r>
        <w:rPr>
          <w:rStyle w:val="41"/>
        </w:rPr>
        <w:instrText xml:space="preserve"> </w:instrText>
      </w:r>
      <w:r>
        <w:fldChar w:fldCharType="separate"/>
      </w:r>
      <w:r>
        <w:rPr>
          <w:rStyle w:val="41"/>
        </w:rPr>
        <w:t>3　</w:t>
      </w:r>
      <w:r>
        <w:rPr>
          <w:rStyle w:val="41"/>
          <w:rFonts w:hint="eastAsia"/>
        </w:rPr>
        <w:t>术语和定义</w:t>
      </w:r>
      <w:r>
        <w:tab/>
      </w:r>
      <w:r>
        <w:rPr>
          <w:rFonts w:hint="eastAsia"/>
          <w:lang w:val="en-US" w:eastAsia="zh-CN"/>
        </w:rPr>
        <w:t>4</w:t>
      </w:r>
      <w:r>
        <w:fldChar w:fldCharType="end"/>
      </w:r>
      <w:r>
        <w:rPr>
          <w:rFonts w:hint="eastAsia"/>
          <w:lang w:val="en-US" w:eastAsia="zh-CN"/>
        </w:rPr>
        <w:t>2</w:t>
      </w:r>
    </w:p>
    <w:p w14:paraId="5EDD05A2">
      <w:pPr>
        <w:pStyle w:val="22"/>
        <w:ind w:firstLine="420"/>
        <w:rPr>
          <w:rFonts w:hint="eastAsia" w:ascii="Calibri" w:eastAsia="宋体"/>
          <w:szCs w:val="22"/>
          <w:lang w:val="en-US" w:eastAsia="zh-CN"/>
        </w:rPr>
      </w:pPr>
      <w:r>
        <w:fldChar w:fldCharType="begin" w:fldLock="1"/>
      </w:r>
      <w:r>
        <w:rPr>
          <w:rStyle w:val="41"/>
        </w:rPr>
        <w:instrText xml:space="preserve"> </w:instrText>
      </w:r>
      <w:r>
        <w:instrText xml:space="preserve">HYPERLINK \l "_Toc522140542"</w:instrText>
      </w:r>
      <w:r>
        <w:rPr>
          <w:rStyle w:val="41"/>
        </w:rPr>
        <w:instrText xml:space="preserve"> </w:instrText>
      </w:r>
      <w:r>
        <w:fldChar w:fldCharType="separate"/>
      </w:r>
      <w:r>
        <w:rPr>
          <w:rStyle w:val="41"/>
        </w:rPr>
        <w:t>4　</w:t>
      </w:r>
      <w:r>
        <w:rPr>
          <w:rStyle w:val="41"/>
          <w:rFonts w:hint="eastAsia"/>
          <w:lang w:val="en-US" w:eastAsia="zh-CN"/>
        </w:rPr>
        <w:t>土壤</w:t>
      </w:r>
      <w:r>
        <w:rPr>
          <w:rStyle w:val="41"/>
          <w:rFonts w:hint="eastAsia"/>
        </w:rPr>
        <w:t>调查</w:t>
      </w:r>
      <w:r>
        <w:rPr>
          <w:rStyle w:val="41"/>
          <w:rFonts w:hint="eastAsia"/>
          <w:lang w:val="en-US" w:eastAsia="zh-CN"/>
        </w:rPr>
        <w:t>与基础数据收集</w:t>
      </w:r>
      <w:r>
        <w:tab/>
      </w:r>
      <w:r>
        <w:rPr>
          <w:rFonts w:hint="eastAsia"/>
          <w:lang w:val="en-US" w:eastAsia="zh-CN"/>
        </w:rPr>
        <w:t>4</w:t>
      </w:r>
      <w:r>
        <w:fldChar w:fldCharType="end"/>
      </w:r>
      <w:r>
        <w:rPr>
          <w:rFonts w:hint="eastAsia"/>
          <w:lang w:val="en-US" w:eastAsia="zh-CN"/>
        </w:rPr>
        <w:t>3</w:t>
      </w:r>
    </w:p>
    <w:p w14:paraId="02585488">
      <w:pPr>
        <w:pStyle w:val="22"/>
        <w:ind w:firstLine="420"/>
        <w:rPr>
          <w:rFonts w:hint="default" w:ascii="Calibri" w:eastAsia="宋体"/>
          <w:szCs w:val="22"/>
          <w:lang w:val="en-US" w:eastAsia="zh-CN"/>
        </w:rPr>
      </w:pPr>
      <w:r>
        <w:fldChar w:fldCharType="begin" w:fldLock="1"/>
      </w:r>
      <w:r>
        <w:rPr>
          <w:rStyle w:val="41"/>
        </w:rPr>
        <w:instrText xml:space="preserve"> </w:instrText>
      </w:r>
      <w:r>
        <w:instrText xml:space="preserve">HYPERLINK \l "_Toc522140543"</w:instrText>
      </w:r>
      <w:r>
        <w:rPr>
          <w:rStyle w:val="41"/>
        </w:rPr>
        <w:instrText xml:space="preserve"> </w:instrText>
      </w:r>
      <w:r>
        <w:fldChar w:fldCharType="separate"/>
      </w:r>
      <w:r>
        <w:rPr>
          <w:rStyle w:val="41"/>
        </w:rPr>
        <w:t>5　</w:t>
      </w:r>
      <w:r>
        <w:rPr>
          <w:rStyle w:val="41"/>
          <w:rFonts w:hint="eastAsia"/>
        </w:rPr>
        <w:t>规</w:t>
      </w:r>
      <w:r>
        <w:rPr>
          <w:rStyle w:val="41"/>
        </w:rPr>
        <w:t>　</w:t>
      </w:r>
      <w:r>
        <w:rPr>
          <w:rStyle w:val="41"/>
          <w:rFonts w:hint="eastAsia"/>
        </w:rPr>
        <w:t>划</w:t>
      </w:r>
      <w:r>
        <w:tab/>
      </w:r>
      <w:r>
        <w:fldChar w:fldCharType="end"/>
      </w:r>
      <w:r>
        <w:rPr>
          <w:rFonts w:hint="eastAsia"/>
          <w:lang w:val="en-US" w:eastAsia="zh-CN"/>
        </w:rPr>
        <w:t>43</w:t>
      </w:r>
    </w:p>
    <w:p w14:paraId="7EF86BDA">
      <w:pPr>
        <w:pStyle w:val="22"/>
        <w:ind w:firstLine="420"/>
        <w:rPr>
          <w:rFonts w:hint="default" w:ascii="Calibri" w:eastAsia="宋体"/>
          <w:szCs w:val="22"/>
          <w:lang w:val="en-US" w:eastAsia="zh-CN"/>
        </w:rPr>
      </w:pPr>
      <w:r>
        <w:fldChar w:fldCharType="begin" w:fldLock="1"/>
      </w:r>
      <w:r>
        <w:rPr>
          <w:rStyle w:val="41"/>
        </w:rPr>
        <w:instrText xml:space="preserve"> </w:instrText>
      </w:r>
      <w:r>
        <w:instrText xml:space="preserve">HYPERLINK \l "_Toc522140544"</w:instrText>
      </w:r>
      <w:r>
        <w:rPr>
          <w:rStyle w:val="41"/>
        </w:rPr>
        <w:instrText xml:space="preserve"> </w:instrText>
      </w:r>
      <w:r>
        <w:fldChar w:fldCharType="separate"/>
      </w:r>
      <w:r>
        <w:rPr>
          <w:rStyle w:val="41"/>
        </w:rPr>
        <w:t>6　</w:t>
      </w:r>
      <w:r>
        <w:rPr>
          <w:rStyle w:val="41"/>
          <w:rFonts w:hint="eastAsia"/>
        </w:rPr>
        <w:t>设</w:t>
      </w:r>
      <w:r>
        <w:rPr>
          <w:rStyle w:val="41"/>
        </w:rPr>
        <w:t>　</w:t>
      </w:r>
      <w:r>
        <w:rPr>
          <w:rStyle w:val="41"/>
          <w:rFonts w:hint="eastAsia"/>
        </w:rPr>
        <w:t>计</w:t>
      </w:r>
      <w:r>
        <w:tab/>
      </w:r>
      <w:r>
        <w:fldChar w:fldCharType="end"/>
      </w:r>
      <w:r>
        <w:rPr>
          <w:rFonts w:hint="eastAsia"/>
          <w:lang w:val="en-US" w:eastAsia="zh-CN"/>
        </w:rPr>
        <w:t>45</w:t>
      </w:r>
    </w:p>
    <w:p w14:paraId="726638B4">
      <w:pPr>
        <w:pStyle w:val="22"/>
        <w:ind w:firstLine="420"/>
        <w:rPr>
          <w:rFonts w:hint="default" w:ascii="Calibri" w:eastAsia="宋体"/>
          <w:szCs w:val="22"/>
          <w:lang w:val="en-US" w:eastAsia="zh-CN"/>
        </w:rPr>
      </w:pPr>
      <w:r>
        <w:fldChar w:fldCharType="begin" w:fldLock="1"/>
      </w:r>
      <w:r>
        <w:rPr>
          <w:rStyle w:val="41"/>
        </w:rPr>
        <w:instrText xml:space="preserve"> </w:instrText>
      </w:r>
      <w:r>
        <w:instrText xml:space="preserve">HYPERLINK \l "_Toc522140545"</w:instrText>
      </w:r>
      <w:r>
        <w:rPr>
          <w:rStyle w:val="41"/>
        </w:rPr>
        <w:instrText xml:space="preserve"> </w:instrText>
      </w:r>
      <w:r>
        <w:fldChar w:fldCharType="separate"/>
      </w:r>
      <w:r>
        <w:rPr>
          <w:rStyle w:val="41"/>
        </w:rPr>
        <w:t>7　</w:t>
      </w:r>
      <w:r>
        <w:rPr>
          <w:rStyle w:val="41"/>
          <w:rFonts w:hint="eastAsia"/>
        </w:rPr>
        <w:t>施</w:t>
      </w:r>
      <w:r>
        <w:rPr>
          <w:rStyle w:val="41"/>
        </w:rPr>
        <w:t>　</w:t>
      </w:r>
      <w:r>
        <w:rPr>
          <w:rStyle w:val="41"/>
          <w:rFonts w:hint="eastAsia"/>
        </w:rPr>
        <w:t>工</w:t>
      </w:r>
      <w:r>
        <w:tab/>
      </w:r>
      <w:r>
        <w:fldChar w:fldCharType="end"/>
      </w:r>
      <w:r>
        <w:rPr>
          <w:rFonts w:hint="eastAsia"/>
          <w:lang w:val="en-US" w:eastAsia="zh-CN"/>
        </w:rPr>
        <w:t>48</w:t>
      </w:r>
    </w:p>
    <w:p w14:paraId="79F888A4">
      <w:pPr>
        <w:pStyle w:val="22"/>
        <w:ind w:firstLine="420"/>
        <w:rPr>
          <w:rFonts w:hint="default" w:ascii="Calibri" w:eastAsia="宋体"/>
          <w:szCs w:val="22"/>
          <w:lang w:val="en-US" w:eastAsia="zh-CN"/>
        </w:rPr>
      </w:pPr>
      <w:r>
        <w:fldChar w:fldCharType="begin" w:fldLock="1"/>
      </w:r>
      <w:r>
        <w:rPr>
          <w:rStyle w:val="41"/>
        </w:rPr>
        <w:instrText xml:space="preserve"> </w:instrText>
      </w:r>
      <w:r>
        <w:instrText xml:space="preserve">HYPERLINK \l "_Toc522140546"</w:instrText>
      </w:r>
      <w:r>
        <w:rPr>
          <w:rStyle w:val="41"/>
        </w:rPr>
        <w:instrText xml:space="preserve"> </w:instrText>
      </w:r>
      <w:r>
        <w:fldChar w:fldCharType="separate"/>
      </w:r>
      <w:r>
        <w:rPr>
          <w:rStyle w:val="41"/>
        </w:rPr>
        <w:t>8　</w:t>
      </w:r>
      <w:r>
        <w:rPr>
          <w:rStyle w:val="41"/>
          <w:rFonts w:hint="eastAsia"/>
        </w:rPr>
        <w:t>工程验收</w:t>
      </w:r>
      <w:r>
        <w:tab/>
      </w:r>
      <w:r>
        <w:fldChar w:fldCharType="end"/>
      </w:r>
      <w:r>
        <w:rPr>
          <w:rFonts w:hint="eastAsia"/>
          <w:lang w:val="en-US" w:eastAsia="zh-CN"/>
        </w:rPr>
        <w:t>49</w:t>
      </w:r>
    </w:p>
    <w:p w14:paraId="1C796B5F">
      <w:pPr>
        <w:pStyle w:val="22"/>
        <w:ind w:firstLine="420"/>
        <w:rPr>
          <w:rFonts w:hint="default" w:ascii="Calibri" w:eastAsia="宋体"/>
          <w:szCs w:val="22"/>
          <w:lang w:val="en-US" w:eastAsia="zh-CN"/>
        </w:rPr>
      </w:pPr>
      <w:r>
        <w:fldChar w:fldCharType="begin" w:fldLock="1"/>
      </w:r>
      <w:r>
        <w:rPr>
          <w:rStyle w:val="41"/>
        </w:rPr>
        <w:instrText xml:space="preserve"> </w:instrText>
      </w:r>
      <w:r>
        <w:instrText xml:space="preserve">HYPERLINK \l "_Toc522140547"</w:instrText>
      </w:r>
      <w:r>
        <w:rPr>
          <w:rStyle w:val="41"/>
        </w:rPr>
        <w:instrText xml:space="preserve"> </w:instrText>
      </w:r>
      <w:r>
        <w:fldChar w:fldCharType="separate"/>
      </w:r>
      <w:r>
        <w:rPr>
          <w:rStyle w:val="41"/>
        </w:rPr>
        <w:t>9　</w:t>
      </w:r>
      <w:r>
        <w:rPr>
          <w:rStyle w:val="41"/>
          <w:rFonts w:hint="eastAsia"/>
        </w:rPr>
        <w:t>工程管理与维护</w:t>
      </w:r>
      <w:r>
        <w:tab/>
      </w:r>
      <w:r>
        <w:fldChar w:fldCharType="end"/>
      </w:r>
      <w:r>
        <w:rPr>
          <w:rFonts w:hint="eastAsia"/>
          <w:lang w:val="en-US" w:eastAsia="zh-CN"/>
        </w:rPr>
        <w:t>49</w:t>
      </w:r>
    </w:p>
    <w:p w14:paraId="3ADCF238">
      <w:pPr>
        <w:pStyle w:val="25"/>
        <w:rPr>
          <w:rFonts w:hint="eastAsia"/>
        </w:rPr>
      </w:pPr>
      <w:r>
        <w:fldChar w:fldCharType="end"/>
      </w:r>
    </w:p>
    <w:p w14:paraId="637ABE00">
      <w:pPr>
        <w:pStyle w:val="127"/>
        <w:rPr>
          <w:rFonts w:hint="eastAsia"/>
          <w:color w:val="auto"/>
          <w:highlight w:val="none"/>
        </w:rPr>
      </w:pPr>
      <w:bookmarkStart w:id="24" w:name="_Toc522140466"/>
      <w:r>
        <w:rPr>
          <w:rFonts w:hint="eastAsia"/>
          <w:color w:val="auto"/>
          <w:highlight w:val="none"/>
        </w:rPr>
        <w:t>前</w:t>
      </w:r>
      <w:bookmarkStart w:id="25" w:name="BKQY"/>
      <w:r>
        <w:rPr>
          <w:rFonts w:hAnsi="黑体"/>
          <w:color w:val="auto"/>
          <w:highlight w:val="none"/>
        </w:rPr>
        <w:t>  </w:t>
      </w:r>
      <w:r>
        <w:rPr>
          <w:rFonts w:hint="eastAsia"/>
          <w:color w:val="auto"/>
          <w:highlight w:val="none"/>
        </w:rPr>
        <w:t>言</w:t>
      </w:r>
      <w:bookmarkEnd w:id="20"/>
      <w:bookmarkEnd w:id="21"/>
      <w:bookmarkEnd w:id="22"/>
      <w:bookmarkEnd w:id="24"/>
      <w:bookmarkEnd w:id="25"/>
    </w:p>
    <w:p w14:paraId="4002A2B0">
      <w:pPr>
        <w:keepNext w:val="0"/>
        <w:keepLines w:val="0"/>
        <w:pageBreakBefore w:val="0"/>
        <w:widowControl w:val="0"/>
        <w:tabs>
          <w:tab w:val="center" w:pos="4201"/>
          <w:tab w:val="right" w:leader="dot" w:pos="9298"/>
        </w:tabs>
        <w:kinsoku/>
        <w:wordWrap/>
        <w:overflowPunct/>
        <w:topLinePunct w:val="0"/>
        <w:autoSpaceDE/>
        <w:autoSpaceDN/>
        <w:bidi w:val="0"/>
        <w:adjustRightInd/>
        <w:snapToGrid/>
        <w:spacing w:line="240" w:lineRule="auto"/>
        <w:ind w:firstLine="420" w:firstLineChars="200"/>
        <w:textAlignment w:val="auto"/>
        <w:rPr>
          <w:rFonts w:hint="eastAsia" w:cs="Times New Roman"/>
          <w:color w:val="auto"/>
          <w:highlight w:val="none"/>
          <w:lang w:val="en-US" w:eastAsia="zh-CN"/>
        </w:rPr>
      </w:pPr>
      <w:r>
        <w:rPr>
          <w:rFonts w:hint="eastAsia" w:cs="Times New Roman"/>
          <w:color w:val="auto"/>
          <w:highlight w:val="none"/>
          <w:lang w:eastAsia="zh-CN"/>
        </w:rPr>
        <w:t>本文件按照</w:t>
      </w:r>
      <w:r>
        <w:rPr>
          <w:rFonts w:hint="eastAsia" w:cs="Times New Roman"/>
          <w:color w:val="auto"/>
          <w:highlight w:val="none"/>
          <w:lang w:val="en-US" w:eastAsia="zh-CN"/>
        </w:rPr>
        <w:t>GB/T1.1-2020《标准化工作导则 第1部分：标准化文件的结构和起草规则》的规定起草。</w:t>
      </w:r>
    </w:p>
    <w:p w14:paraId="038BACE9">
      <w:pPr>
        <w:keepNext w:val="0"/>
        <w:keepLines w:val="0"/>
        <w:pageBreakBefore w:val="0"/>
        <w:widowControl w:val="0"/>
        <w:tabs>
          <w:tab w:val="center" w:pos="4201"/>
          <w:tab w:val="right" w:leader="dot" w:pos="9298"/>
        </w:tabs>
        <w:kinsoku/>
        <w:wordWrap/>
        <w:overflowPunct/>
        <w:topLinePunct w:val="0"/>
        <w:autoSpaceDE/>
        <w:autoSpaceDN/>
        <w:bidi w:val="0"/>
        <w:adjustRightInd/>
        <w:snapToGrid/>
        <w:spacing w:line="240" w:lineRule="auto"/>
        <w:ind w:firstLine="420" w:firstLineChars="200"/>
        <w:textAlignment w:val="auto"/>
        <w:rPr>
          <w:rFonts w:hint="eastAsia" w:cs="Times New Roman"/>
          <w:color w:val="auto"/>
          <w:highlight w:val="none"/>
          <w:lang w:val="en-US" w:eastAsia="zh-CN"/>
        </w:rPr>
      </w:pPr>
      <w:r>
        <w:rPr>
          <w:rFonts w:hint="eastAsia" w:cs="Times New Roman"/>
          <w:color w:val="auto"/>
          <w:highlight w:val="none"/>
          <w:lang w:val="en-US" w:eastAsia="zh-CN"/>
        </w:rPr>
        <w:t>请注意本文件的某些内容可能涉及专利。本文件的发布机构不承担识别专利的责任。</w:t>
      </w:r>
    </w:p>
    <w:p w14:paraId="2A5BB37B">
      <w:pPr>
        <w:keepNext w:val="0"/>
        <w:keepLines w:val="0"/>
        <w:pageBreakBefore w:val="0"/>
        <w:widowControl w:val="0"/>
        <w:tabs>
          <w:tab w:val="center" w:pos="4201"/>
          <w:tab w:val="right" w:leader="dot" w:pos="9298"/>
        </w:tabs>
        <w:kinsoku/>
        <w:wordWrap/>
        <w:overflowPunct/>
        <w:topLinePunct w:val="0"/>
        <w:autoSpaceDE/>
        <w:autoSpaceDN/>
        <w:bidi w:val="0"/>
        <w:adjustRightInd/>
        <w:snapToGrid/>
        <w:spacing w:line="240" w:lineRule="auto"/>
        <w:ind w:firstLine="420" w:firstLineChars="200"/>
        <w:textAlignment w:val="auto"/>
        <w:rPr>
          <w:rFonts w:hint="eastAsia" w:cs="Times New Roman"/>
          <w:color w:val="auto"/>
          <w:highlight w:val="none"/>
          <w:lang w:val="en-US" w:eastAsia="zh-CN"/>
        </w:rPr>
      </w:pPr>
      <w:r>
        <w:rPr>
          <w:rFonts w:hint="eastAsia" w:cs="Times New Roman"/>
          <w:color w:val="auto"/>
          <w:highlight w:val="none"/>
          <w:lang w:val="en-US" w:eastAsia="zh-CN"/>
        </w:rPr>
        <w:t>本文件由宁夏回族自治区农业农村厅提出、归口并组织实施。</w:t>
      </w:r>
    </w:p>
    <w:p w14:paraId="09545EC3">
      <w:pPr>
        <w:keepNext w:val="0"/>
        <w:keepLines w:val="0"/>
        <w:pageBreakBefore w:val="0"/>
        <w:widowControl w:val="0"/>
        <w:tabs>
          <w:tab w:val="center" w:pos="4201"/>
          <w:tab w:val="right" w:leader="dot" w:pos="9298"/>
        </w:tabs>
        <w:kinsoku/>
        <w:wordWrap/>
        <w:overflowPunct/>
        <w:topLinePunct w:val="0"/>
        <w:autoSpaceDE/>
        <w:autoSpaceDN/>
        <w:bidi w:val="0"/>
        <w:adjustRightInd/>
        <w:snapToGrid/>
        <w:spacing w:line="240" w:lineRule="auto"/>
        <w:ind w:firstLine="420" w:firstLineChars="200"/>
        <w:textAlignment w:val="auto"/>
        <w:rPr>
          <w:rFonts w:hint="eastAsia" w:cs="Times New Roman"/>
          <w:color w:val="auto"/>
          <w:highlight w:val="none"/>
          <w:lang w:val="en-US" w:eastAsia="zh-CN"/>
        </w:rPr>
      </w:pPr>
      <w:r>
        <w:rPr>
          <w:rFonts w:hint="eastAsia" w:cs="Times New Roman"/>
          <w:color w:val="auto"/>
          <w:highlight w:val="none"/>
          <w:lang w:val="en-US" w:eastAsia="zh-CN"/>
        </w:rPr>
        <w:t>本文件起草单位：宁夏回族自治区农业综合开发中心、宁夏大学。</w:t>
      </w:r>
    </w:p>
    <w:p w14:paraId="04BF2628">
      <w:pPr>
        <w:keepNext w:val="0"/>
        <w:keepLines w:val="0"/>
        <w:pageBreakBefore w:val="0"/>
        <w:widowControl w:val="0"/>
        <w:tabs>
          <w:tab w:val="center" w:pos="4201"/>
          <w:tab w:val="right" w:leader="dot" w:pos="9298"/>
        </w:tabs>
        <w:kinsoku/>
        <w:wordWrap/>
        <w:overflowPunct/>
        <w:topLinePunct w:val="0"/>
        <w:autoSpaceDE/>
        <w:autoSpaceDN/>
        <w:bidi w:val="0"/>
        <w:adjustRightInd/>
        <w:snapToGrid/>
        <w:spacing w:line="240" w:lineRule="auto"/>
        <w:ind w:firstLine="420" w:firstLineChars="200"/>
        <w:textAlignment w:val="auto"/>
        <w:rPr>
          <w:rFonts w:hint="eastAsia" w:cs="Times New Roman"/>
          <w:color w:val="auto"/>
          <w:highlight w:val="none"/>
          <w:lang w:val="en-US" w:eastAsia="zh-CN"/>
        </w:rPr>
      </w:pPr>
      <w:r>
        <w:rPr>
          <w:rFonts w:hint="eastAsia" w:cs="Times New Roman"/>
          <w:color w:val="auto"/>
          <w:highlight w:val="none"/>
          <w:lang w:val="en-US" w:eastAsia="zh-CN"/>
        </w:rPr>
        <w:t>本文件主要起草人：韦伟、王红雨、吴昊、王建锋、王思成、刘燕茹、张轩硕、王景辉、李停锋、王亚、曹静、杨文娜、李云、杨洁、白岩、吴焜玥、肖庆红、孙立峰、王玮、麦文慧、李娟娟。</w:t>
      </w:r>
    </w:p>
    <w:p w14:paraId="6B4B2E11">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r>
        <w:rPr>
          <w:rFonts w:hint="eastAsia" w:cs="Times New Roman"/>
          <w:color w:val="auto"/>
          <w:highlight w:val="none"/>
          <w:lang w:val="en-US" w:eastAsia="zh-CN"/>
        </w:rPr>
        <w:t xml:space="preserve">  </w:t>
      </w:r>
    </w:p>
    <w:p w14:paraId="02D8E2AE">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55586EE5">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3BF99939">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6A6F34BF">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04F2C04A">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685C83F0">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6BD92EA6">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6AF012EF">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114C9521">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15BD0C09">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73650470">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413A3507">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44A533B3">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76D7D2AA">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7D109CD4">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1B08870D">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4CA014A3">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s="Times New Roman"/>
          <w:color w:val="auto"/>
          <w:highlight w:val="none"/>
          <w:lang w:val="en-US" w:eastAsia="zh-CN"/>
        </w:rPr>
      </w:pPr>
    </w:p>
    <w:p w14:paraId="54331789">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ascii="黑体" w:eastAsia="黑体"/>
          <w:color w:val="auto"/>
          <w:sz w:val="32"/>
          <w:szCs w:val="32"/>
          <w:highlight w:val="none"/>
          <w:lang w:eastAsia="zh-CN"/>
        </w:rPr>
      </w:pPr>
      <w:r>
        <w:rPr>
          <w:rFonts w:hint="eastAsia" w:ascii="黑体" w:eastAsia="黑体"/>
          <w:color w:val="auto"/>
          <w:sz w:val="32"/>
          <w:szCs w:val="32"/>
          <w:highlight w:val="none"/>
        </w:rPr>
        <w:t>盐碱地治理水利工程技术规</w:t>
      </w:r>
      <w:r>
        <w:rPr>
          <w:rFonts w:hint="eastAsia" w:ascii="黑体" w:eastAsia="黑体"/>
          <w:color w:val="auto"/>
          <w:sz w:val="32"/>
          <w:szCs w:val="32"/>
          <w:highlight w:val="none"/>
          <w:lang w:val="en-US" w:eastAsia="zh-CN"/>
        </w:rPr>
        <w:t>程</w:t>
      </w:r>
      <w:r>
        <w:rPr>
          <w:rFonts w:hint="eastAsia" w:ascii="黑体" w:eastAsia="黑体"/>
          <w:color w:val="auto"/>
          <w:sz w:val="32"/>
          <w:szCs w:val="32"/>
          <w:highlight w:val="none"/>
        </w:rPr>
        <w:t>范</w:t>
      </w:r>
      <w:r>
        <w:rPr>
          <w:rFonts w:hint="eastAsia" w:ascii="黑体" w:eastAsia="黑体"/>
          <w:color w:val="auto"/>
          <w:sz w:val="32"/>
          <w:szCs w:val="32"/>
          <w:highlight w:val="none"/>
          <w:lang w:val="en-US" w:eastAsia="zh-CN"/>
        </w:rPr>
        <w:t xml:space="preserve"> </w:t>
      </w:r>
      <w:r>
        <w:rPr>
          <w:rFonts w:hint="eastAsia" w:ascii="黑体" w:eastAsia="黑体"/>
          <w:color w:val="auto"/>
          <w:sz w:val="32"/>
          <w:szCs w:val="32"/>
          <w:highlight w:val="none"/>
        </w:rPr>
        <w:t>第</w:t>
      </w:r>
      <w:r>
        <w:rPr>
          <w:rFonts w:hint="eastAsia" w:ascii="黑体" w:eastAsia="黑体"/>
          <w:color w:val="auto"/>
          <w:sz w:val="32"/>
          <w:szCs w:val="32"/>
          <w:highlight w:val="none"/>
          <w:lang w:val="en-US" w:eastAsia="zh-CN"/>
        </w:rPr>
        <w:t>1</w:t>
      </w:r>
      <w:r>
        <w:rPr>
          <w:rFonts w:hint="eastAsia" w:ascii="黑体" w:eastAsia="黑体"/>
          <w:color w:val="auto"/>
          <w:sz w:val="32"/>
          <w:szCs w:val="32"/>
          <w:highlight w:val="none"/>
        </w:rPr>
        <w:t>部分</w:t>
      </w:r>
    </w:p>
    <w:p w14:paraId="471F2C67">
      <w:pPr>
        <w:keepNext w:val="0"/>
        <w:keepLines w:val="0"/>
        <w:pageBreakBefore w:val="0"/>
        <w:widowControl w:val="0"/>
        <w:kinsoku/>
        <w:wordWrap/>
        <w:overflowPunct/>
        <w:topLinePunct w:val="0"/>
        <w:autoSpaceDE/>
        <w:autoSpaceDN/>
        <w:bidi w:val="0"/>
        <w:adjustRightInd w:val="0"/>
        <w:snapToGrid w:val="0"/>
        <w:spacing w:line="500" w:lineRule="exact"/>
        <w:jc w:val="center"/>
        <w:textAlignment w:val="auto"/>
        <w:rPr>
          <w:rFonts w:hint="eastAsia"/>
          <w:color w:val="auto"/>
          <w:highlight w:val="none"/>
        </w:rPr>
      </w:pPr>
      <w:r>
        <w:rPr>
          <w:rFonts w:hint="eastAsia" w:ascii="黑体" w:eastAsia="黑体"/>
          <w:color w:val="auto"/>
          <w:sz w:val="32"/>
          <w:szCs w:val="32"/>
          <w:highlight w:val="none"/>
        </w:rPr>
        <w:t>暗管排水</w:t>
      </w:r>
    </w:p>
    <w:p w14:paraId="27F0C67E">
      <w:pPr>
        <w:pStyle w:val="90"/>
        <w:rPr>
          <w:rFonts w:hint="eastAsia" w:ascii="黑体" w:hAnsi="黑体" w:eastAsia="黑体" w:cs="黑体"/>
          <w:color w:val="auto"/>
          <w:highlight w:val="none"/>
        </w:rPr>
      </w:pPr>
      <w:r>
        <w:rPr>
          <w:rFonts w:hint="eastAsia" w:ascii="黑体" w:hAnsi="黑体" w:eastAsia="黑体" w:cs="黑体"/>
          <w:color w:val="auto"/>
          <w:highlight w:val="none"/>
          <w:lang w:eastAsia="zh-CN"/>
        </w:rPr>
        <w:t>范围</w:t>
      </w:r>
    </w:p>
    <w:p w14:paraId="19540DCC">
      <w:pPr>
        <w:pStyle w:val="25"/>
        <w:keepNext w:val="0"/>
        <w:keepLines w:val="0"/>
        <w:pageBreakBefore w:val="0"/>
        <w:kinsoku/>
        <w:wordWrap/>
        <w:overflowPunct/>
        <w:topLinePunct w:val="0"/>
        <w:bidi w:val="0"/>
        <w:adjustRightInd w:val="0"/>
        <w:snapToGrid w:val="0"/>
        <w:spacing w:line="240" w:lineRule="auto"/>
        <w:ind w:firstLine="0" w:firstLineChars="0"/>
        <w:textAlignment w:val="auto"/>
        <w:rPr>
          <w:rFonts w:ascii="Times New Roman"/>
          <w:color w:val="auto"/>
          <w:kern w:val="2"/>
          <w:highlight w:val="none"/>
        </w:rPr>
      </w:pPr>
      <w:bookmarkStart w:id="26" w:name="_Toc299608969"/>
      <w:r>
        <w:rPr>
          <w:rFonts w:hint="eastAsia" w:ascii="宋体" w:hAnsi="宋体" w:eastAsia="宋体" w:cs="宋体"/>
          <w:color w:val="auto"/>
          <w:highlight w:val="none"/>
        </w:rPr>
        <w:t>1.1</w:t>
      </w:r>
      <w:bookmarkEnd w:id="26"/>
      <w:r>
        <w:rPr>
          <w:rFonts w:ascii="Times New Roman"/>
          <w:color w:val="auto"/>
          <w:highlight w:val="none"/>
        </w:rPr>
        <w:t xml:space="preserve"> 本规</w:t>
      </w:r>
      <w:r>
        <w:rPr>
          <w:rFonts w:hint="eastAsia" w:ascii="Times New Roman"/>
          <w:color w:val="auto"/>
          <w:highlight w:val="none"/>
          <w:lang w:eastAsia="zh-CN"/>
        </w:rPr>
        <w:t>程</w:t>
      </w:r>
      <w:r>
        <w:rPr>
          <w:rFonts w:ascii="Times New Roman"/>
          <w:color w:val="auto"/>
          <w:highlight w:val="none"/>
        </w:rPr>
        <w:t>适用于</w:t>
      </w:r>
      <w:r>
        <w:rPr>
          <w:rFonts w:hint="eastAsia" w:ascii="Times New Roman"/>
          <w:color w:val="auto"/>
          <w:highlight w:val="none"/>
          <w:lang w:val="en-US" w:eastAsia="zh-CN"/>
        </w:rPr>
        <w:t>宁夏回族自治区引黄灌区</w:t>
      </w:r>
      <w:r>
        <w:rPr>
          <w:rFonts w:ascii="Times New Roman"/>
          <w:color w:val="auto"/>
          <w:highlight w:val="none"/>
        </w:rPr>
        <w:t>新建、扩建和改建</w:t>
      </w:r>
      <w:r>
        <w:rPr>
          <w:rFonts w:hint="eastAsia" w:ascii="Times New Roman"/>
          <w:color w:val="auto"/>
          <w:highlight w:val="none"/>
          <w:lang w:val="en-US" w:eastAsia="zh-CN"/>
        </w:rPr>
        <w:t>农田</w:t>
      </w:r>
      <w:r>
        <w:rPr>
          <w:rFonts w:ascii="Times New Roman"/>
          <w:color w:val="auto"/>
          <w:highlight w:val="none"/>
        </w:rPr>
        <w:t>暗管排水工程的规划、设计、施工以及工程运行管理与维护。</w:t>
      </w:r>
    </w:p>
    <w:p w14:paraId="397EE3F1">
      <w:pPr>
        <w:pStyle w:val="25"/>
        <w:keepNext w:val="0"/>
        <w:keepLines w:val="0"/>
        <w:pageBreakBefore w:val="0"/>
        <w:kinsoku/>
        <w:wordWrap/>
        <w:overflowPunct/>
        <w:topLinePunct w:val="0"/>
        <w:bidi w:val="0"/>
        <w:adjustRightInd w:val="0"/>
        <w:snapToGrid w:val="0"/>
        <w:spacing w:line="240" w:lineRule="auto"/>
        <w:ind w:firstLine="0" w:firstLineChars="0"/>
        <w:textAlignment w:val="auto"/>
        <w:rPr>
          <w:rFonts w:hint="default" w:ascii="Times New Roman" w:eastAsia="宋体"/>
          <w:color w:val="auto"/>
          <w:kern w:val="2"/>
          <w:highlight w:val="none"/>
          <w:lang w:val="en-US" w:eastAsia="zh-CN"/>
        </w:rPr>
      </w:pPr>
      <w:r>
        <w:rPr>
          <w:rFonts w:hint="eastAsia" w:ascii="宋体" w:hAnsi="宋体" w:eastAsia="宋体" w:cs="宋体"/>
          <w:color w:val="auto"/>
          <w:kern w:val="2"/>
          <w:highlight w:val="none"/>
          <w:lang w:val="en-US" w:eastAsia="zh-CN"/>
        </w:rPr>
        <w:t xml:space="preserve">1.2 </w:t>
      </w:r>
      <w:r>
        <w:rPr>
          <w:rFonts w:hint="eastAsia" w:ascii="Times New Roman"/>
          <w:color w:val="auto"/>
          <w:kern w:val="2"/>
          <w:highlight w:val="none"/>
          <w:lang w:val="en-US" w:eastAsia="zh-CN"/>
        </w:rPr>
        <w:t>本规程确立了盐碱地治理过程中农田暗管排水工程建设各环节的基本要求、方法与程序，规定了暗管排水工程设计指标与参数，提出了暗管排水工程施工的质量标准与要求，明确了工程运行管理与维修责任与义务。</w:t>
      </w:r>
    </w:p>
    <w:p w14:paraId="31926CB3">
      <w:pPr>
        <w:pStyle w:val="25"/>
        <w:keepNext w:val="0"/>
        <w:keepLines w:val="0"/>
        <w:pageBreakBefore w:val="0"/>
        <w:kinsoku/>
        <w:wordWrap/>
        <w:overflowPunct/>
        <w:topLinePunct w:val="0"/>
        <w:bidi w:val="0"/>
        <w:adjustRightInd w:val="0"/>
        <w:snapToGrid w:val="0"/>
        <w:spacing w:line="240" w:lineRule="auto"/>
        <w:ind w:firstLine="0" w:firstLineChars="0"/>
        <w:textAlignment w:val="auto"/>
        <w:rPr>
          <w:rFonts w:hint="eastAsia" w:ascii="Times New Roman"/>
          <w:color w:val="auto"/>
          <w:kern w:val="2"/>
          <w:highlight w:val="none"/>
          <w:lang w:val="en-US" w:eastAsia="zh-CN"/>
        </w:rPr>
      </w:pPr>
      <w:r>
        <w:rPr>
          <w:rFonts w:hint="eastAsia" w:ascii="宋体" w:hAnsi="宋体" w:eastAsia="宋体" w:cs="宋体"/>
          <w:color w:val="auto"/>
          <w:kern w:val="2"/>
          <w:highlight w:val="none"/>
          <w:lang w:val="en-US" w:eastAsia="zh-CN"/>
        </w:rPr>
        <w:t xml:space="preserve">1.3 </w:t>
      </w:r>
      <w:r>
        <w:rPr>
          <w:rFonts w:hint="eastAsia" w:ascii="Times New Roman"/>
          <w:color w:val="auto"/>
          <w:kern w:val="2"/>
          <w:highlight w:val="none"/>
          <w:lang w:val="en-US" w:eastAsia="zh-CN"/>
        </w:rPr>
        <w:t>为方便相关部门推广应用，本规程在附录中提供了暗管排水工程相关参数设计与计算的流程，并且附基于Excel界面的VBA计算程序。</w:t>
      </w:r>
    </w:p>
    <w:p w14:paraId="7888FB5C">
      <w:pPr>
        <w:pStyle w:val="25"/>
        <w:keepNext w:val="0"/>
        <w:keepLines w:val="0"/>
        <w:pageBreakBefore w:val="0"/>
        <w:kinsoku/>
        <w:wordWrap/>
        <w:overflowPunct/>
        <w:topLinePunct w:val="0"/>
        <w:bidi w:val="0"/>
        <w:adjustRightInd w:val="0"/>
        <w:snapToGrid w:val="0"/>
        <w:spacing w:line="240" w:lineRule="auto"/>
        <w:ind w:firstLine="0" w:firstLineChars="0"/>
        <w:textAlignment w:val="auto"/>
        <w:rPr>
          <w:rFonts w:hint="eastAsia" w:ascii="Times New Roman"/>
          <w:color w:val="auto"/>
          <w:kern w:val="2"/>
          <w:highlight w:val="none"/>
          <w:lang w:val="en-US" w:eastAsia="zh-CN"/>
        </w:rPr>
      </w:pPr>
      <w:r>
        <w:rPr>
          <w:rFonts w:hint="eastAsia" w:ascii="宋体" w:hAnsi="宋体" w:eastAsia="宋体" w:cs="宋体"/>
          <w:color w:val="auto"/>
          <w:kern w:val="2"/>
          <w:highlight w:val="none"/>
          <w:lang w:val="en-US" w:eastAsia="zh-CN"/>
        </w:rPr>
        <w:t xml:space="preserve">1.4 </w:t>
      </w:r>
      <w:r>
        <w:rPr>
          <w:rFonts w:hint="eastAsia" w:ascii="Times New Roman"/>
          <w:color w:val="auto"/>
          <w:kern w:val="2"/>
          <w:highlight w:val="none"/>
          <w:lang w:val="en-US" w:eastAsia="zh-CN"/>
        </w:rPr>
        <w:t>本规程兼顾了灌区防御次生盐渍化与治理盐碱耕地两个方面的内容，也可供类似灌区农田暗管排水工程建设参考使用。</w:t>
      </w:r>
    </w:p>
    <w:p w14:paraId="3494FD3A">
      <w:pPr>
        <w:keepNext w:val="0"/>
        <w:keepLines w:val="0"/>
        <w:pageBreakBefore w:val="0"/>
        <w:widowControl w:val="0"/>
        <w:tabs>
          <w:tab w:val="center" w:pos="4201"/>
          <w:tab w:val="right" w:leader="dot" w:pos="9298"/>
        </w:tabs>
        <w:kinsoku/>
        <w:wordWrap/>
        <w:overflowPunct/>
        <w:topLinePunct w:val="0"/>
        <w:autoSpaceDE/>
        <w:autoSpaceDN/>
        <w:bidi w:val="0"/>
        <w:adjustRightInd w:val="0"/>
        <w:snapToGrid w:val="0"/>
        <w:spacing w:line="240" w:lineRule="auto"/>
        <w:textAlignment w:val="auto"/>
        <w:rPr>
          <w:color w:val="auto"/>
          <w:highlight w:val="none"/>
        </w:rPr>
      </w:pPr>
      <w:r>
        <w:rPr>
          <w:rFonts w:hint="eastAsia" w:ascii="宋体" w:hAnsi="宋体" w:eastAsia="宋体" w:cs="宋体"/>
          <w:color w:val="auto"/>
          <w:kern w:val="2"/>
          <w:highlight w:val="none"/>
          <w:lang w:val="en-US" w:eastAsia="zh-CN"/>
        </w:rPr>
        <w:t xml:space="preserve">1.5 </w:t>
      </w:r>
      <w:r>
        <w:rPr>
          <w:rFonts w:hint="eastAsia" w:ascii="Times New Roman"/>
          <w:color w:val="auto"/>
          <w:kern w:val="2"/>
          <w:highlight w:val="none"/>
          <w:lang w:val="en-US" w:eastAsia="zh-CN"/>
        </w:rPr>
        <w:t>本规程要求</w:t>
      </w:r>
      <w:r>
        <w:rPr>
          <w:rFonts w:ascii="Times New Roman"/>
          <w:color w:val="auto"/>
          <w:kern w:val="2"/>
          <w:highlight w:val="none"/>
        </w:rPr>
        <w:t>工程</w:t>
      </w:r>
      <w:r>
        <w:rPr>
          <w:rFonts w:hint="eastAsia" w:ascii="Times New Roman"/>
          <w:color w:val="auto"/>
          <w:kern w:val="2"/>
          <w:highlight w:val="none"/>
          <w:lang w:val="en-US" w:eastAsia="zh-CN"/>
        </w:rPr>
        <w:t>建设</w:t>
      </w:r>
      <w:r>
        <w:rPr>
          <w:rFonts w:ascii="Times New Roman"/>
          <w:color w:val="auto"/>
          <w:kern w:val="2"/>
          <w:highlight w:val="none"/>
        </w:rPr>
        <w:t>管理单位</w:t>
      </w:r>
      <w:r>
        <w:rPr>
          <w:rFonts w:hint="eastAsia" w:ascii="Times New Roman"/>
          <w:color w:val="auto"/>
          <w:kern w:val="2"/>
          <w:highlight w:val="none"/>
          <w:lang w:val="en-US" w:eastAsia="zh-CN"/>
        </w:rPr>
        <w:t>依据国家、行业与地方的相关</w:t>
      </w:r>
      <w:r>
        <w:rPr>
          <w:rFonts w:ascii="Times New Roman"/>
          <w:color w:val="auto"/>
          <w:kern w:val="2"/>
          <w:highlight w:val="none"/>
        </w:rPr>
        <w:t>规章</w:t>
      </w:r>
      <w:r>
        <w:rPr>
          <w:rFonts w:hint="eastAsia" w:ascii="Times New Roman"/>
          <w:color w:val="auto"/>
          <w:kern w:val="2"/>
          <w:highlight w:val="none"/>
        </w:rPr>
        <w:t>制度，</w:t>
      </w:r>
      <w:r>
        <w:rPr>
          <w:rFonts w:hint="eastAsia" w:ascii="Times New Roman"/>
          <w:color w:val="auto"/>
          <w:kern w:val="2"/>
          <w:highlight w:val="none"/>
          <w:lang w:val="en-US" w:eastAsia="zh-CN"/>
        </w:rPr>
        <w:t>严格审核</w:t>
      </w:r>
      <w:r>
        <w:rPr>
          <w:rFonts w:hint="eastAsia" w:ascii="Times New Roman"/>
          <w:color w:val="auto"/>
          <w:kern w:val="2"/>
          <w:highlight w:val="none"/>
        </w:rPr>
        <w:t>设计、施工和监理单位</w:t>
      </w:r>
      <w:r>
        <w:rPr>
          <w:rFonts w:ascii="Times New Roman"/>
          <w:color w:val="auto"/>
          <w:kern w:val="2"/>
          <w:highlight w:val="none"/>
        </w:rPr>
        <w:t>资质</w:t>
      </w:r>
      <w:r>
        <w:rPr>
          <w:rFonts w:hint="eastAsia" w:ascii="Times New Roman"/>
          <w:color w:val="auto"/>
          <w:kern w:val="2"/>
          <w:highlight w:val="none"/>
          <w:lang w:eastAsia="zh-CN"/>
        </w:rPr>
        <w:t>，</w:t>
      </w:r>
      <w:r>
        <w:rPr>
          <w:rFonts w:hint="eastAsia" w:ascii="Times New Roman"/>
          <w:color w:val="auto"/>
          <w:kern w:val="2"/>
          <w:highlight w:val="none"/>
          <w:lang w:val="en-US" w:eastAsia="zh-CN"/>
        </w:rPr>
        <w:t>重视工程全过程管理，确保</w:t>
      </w:r>
      <w:r>
        <w:rPr>
          <w:rFonts w:ascii="Times New Roman"/>
          <w:color w:val="auto"/>
          <w:kern w:val="2"/>
          <w:highlight w:val="none"/>
        </w:rPr>
        <w:t>工程</w:t>
      </w:r>
      <w:r>
        <w:rPr>
          <w:rFonts w:hint="eastAsia" w:ascii="Times New Roman"/>
          <w:color w:val="auto"/>
          <w:kern w:val="2"/>
          <w:highlight w:val="none"/>
          <w:lang w:val="en-US" w:eastAsia="zh-CN"/>
        </w:rPr>
        <w:t>实现预期目标</w:t>
      </w:r>
      <w:r>
        <w:rPr>
          <w:rFonts w:ascii="Times New Roman"/>
          <w:color w:val="auto"/>
          <w:kern w:val="2"/>
          <w:highlight w:val="none"/>
        </w:rPr>
        <w:t>。</w:t>
      </w:r>
    </w:p>
    <w:p w14:paraId="7BFA77BA">
      <w:pPr>
        <w:pStyle w:val="90"/>
        <w:keepNext w:val="0"/>
        <w:keepLines w:val="0"/>
        <w:pageBreakBefore w:val="0"/>
        <w:widowControl/>
        <w:kinsoku/>
        <w:wordWrap/>
        <w:overflowPunct/>
        <w:topLinePunct w:val="0"/>
        <w:autoSpaceDE/>
        <w:autoSpaceDN/>
        <w:bidi w:val="0"/>
        <w:adjustRightInd/>
        <w:snapToGrid/>
        <w:spacing w:before="313" w:beforeLines="100" w:after="313" w:afterLines="100"/>
        <w:textAlignment w:val="auto"/>
        <w:rPr>
          <w:rFonts w:hint="eastAsia"/>
          <w:color w:val="auto"/>
          <w:highlight w:val="none"/>
        </w:rPr>
      </w:pPr>
      <w:bookmarkStart w:id="27" w:name="_Toc520706067"/>
      <w:bookmarkStart w:id="28" w:name="_Toc520823440"/>
      <w:bookmarkStart w:id="29" w:name="_Toc522140468"/>
      <w:bookmarkStart w:id="30" w:name="_Toc299889738"/>
      <w:bookmarkStart w:id="31" w:name="_Toc520705876"/>
      <w:bookmarkStart w:id="32" w:name="_Toc520709287"/>
      <w:r>
        <w:rPr>
          <w:rFonts w:hint="eastAsia"/>
          <w:color w:val="auto"/>
          <w:highlight w:val="none"/>
        </w:rPr>
        <w:t>规范性引用文件</w:t>
      </w:r>
      <w:bookmarkEnd w:id="27"/>
      <w:bookmarkEnd w:id="28"/>
      <w:bookmarkEnd w:id="29"/>
      <w:bookmarkEnd w:id="30"/>
      <w:bookmarkEnd w:id="31"/>
      <w:bookmarkEnd w:id="32"/>
    </w:p>
    <w:p w14:paraId="37782E4F">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color w:val="auto"/>
          <w:highlight w:val="none"/>
        </w:rPr>
      </w:pPr>
      <w:r>
        <w:rPr>
          <w:rFonts w:hint="eastAsia"/>
          <w:color w:val="auto"/>
          <w:highlight w:val="none"/>
        </w:rPr>
        <w:t>下列文件</w:t>
      </w:r>
      <w:r>
        <w:rPr>
          <w:rFonts w:hint="eastAsia"/>
          <w:color w:val="auto"/>
          <w:highlight w:val="none"/>
          <w:lang w:val="en-US" w:eastAsia="zh-CN"/>
        </w:rPr>
        <w:t>中的内容通过文中的规范性引用而构成本规程必不可少的条款。其中，</w:t>
      </w:r>
      <w:r>
        <w:rPr>
          <w:rFonts w:hint="eastAsia"/>
          <w:color w:val="auto"/>
          <w:highlight w:val="none"/>
        </w:rPr>
        <w:t>注日期的引用文件，仅</w:t>
      </w:r>
      <w:r>
        <w:rPr>
          <w:rFonts w:hint="eastAsia"/>
          <w:color w:val="auto"/>
          <w:highlight w:val="none"/>
          <w:lang w:val="en-US" w:eastAsia="zh-CN"/>
        </w:rPr>
        <w:t>该</w:t>
      </w:r>
      <w:r>
        <w:rPr>
          <w:rFonts w:hint="eastAsia"/>
          <w:color w:val="auto"/>
          <w:highlight w:val="none"/>
        </w:rPr>
        <w:t>日期</w:t>
      </w:r>
      <w:r>
        <w:rPr>
          <w:rFonts w:hint="eastAsia"/>
          <w:color w:val="auto"/>
          <w:highlight w:val="none"/>
          <w:lang w:val="en-US" w:eastAsia="zh-CN"/>
        </w:rPr>
        <w:t>对应的</w:t>
      </w:r>
      <w:r>
        <w:rPr>
          <w:rFonts w:hint="eastAsia"/>
          <w:color w:val="auto"/>
          <w:highlight w:val="none"/>
        </w:rPr>
        <w:t>版本适用于本</w:t>
      </w:r>
      <w:r>
        <w:rPr>
          <w:rFonts w:hint="eastAsia"/>
          <w:color w:val="auto"/>
          <w:highlight w:val="none"/>
          <w:lang w:val="en-US" w:eastAsia="zh-CN"/>
        </w:rPr>
        <w:t>规程</w:t>
      </w:r>
      <w:r>
        <w:rPr>
          <w:rFonts w:hint="eastAsia"/>
          <w:color w:val="auto"/>
          <w:highlight w:val="none"/>
          <w:lang w:eastAsia="zh-CN"/>
        </w:rPr>
        <w:t>；</w:t>
      </w:r>
      <w:r>
        <w:rPr>
          <w:rFonts w:hint="eastAsia"/>
          <w:color w:val="auto"/>
          <w:highlight w:val="none"/>
        </w:rPr>
        <w:t>不注日期的引用文件，其最新版本</w:t>
      </w:r>
      <w:r>
        <w:rPr>
          <w:rFonts w:hint="eastAsia"/>
          <w:color w:val="auto"/>
          <w:highlight w:val="none"/>
          <w:lang w:eastAsia="zh-CN"/>
        </w:rPr>
        <w:t>（</w:t>
      </w:r>
      <w:r>
        <w:rPr>
          <w:rFonts w:hint="eastAsia"/>
          <w:color w:val="auto"/>
          <w:highlight w:val="none"/>
          <w:lang w:val="en-US" w:eastAsia="zh-CN"/>
        </w:rPr>
        <w:t>包括所有的修改单）</w:t>
      </w:r>
      <w:r>
        <w:rPr>
          <w:rFonts w:hint="eastAsia"/>
          <w:color w:val="auto"/>
          <w:highlight w:val="none"/>
        </w:rPr>
        <w:t>适用于本</w:t>
      </w:r>
      <w:r>
        <w:rPr>
          <w:rFonts w:hint="eastAsia"/>
          <w:color w:val="auto"/>
          <w:highlight w:val="none"/>
          <w:lang w:val="en-US" w:eastAsia="zh-CN"/>
        </w:rPr>
        <w:t>规程</w:t>
      </w:r>
      <w:r>
        <w:rPr>
          <w:rFonts w:hint="eastAsia"/>
          <w:color w:val="auto"/>
          <w:highlight w:val="none"/>
        </w:rPr>
        <w:t>。</w:t>
      </w:r>
    </w:p>
    <w:p w14:paraId="094EB216">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highlight w:val="none"/>
        </w:rPr>
      </w:pPr>
      <w:r>
        <w:rPr>
          <w:rFonts w:ascii="Times New Roman"/>
          <w:color w:val="auto"/>
          <w:highlight w:val="none"/>
        </w:rPr>
        <w:t>GB</w:t>
      </w:r>
      <w:r>
        <w:rPr>
          <w:rFonts w:hint="eastAsia" w:ascii="Times New Roman"/>
          <w:color w:val="auto"/>
          <w:highlight w:val="none"/>
        </w:rPr>
        <w:t>/T</w:t>
      </w:r>
      <w:r>
        <w:rPr>
          <w:rFonts w:ascii="Times New Roman"/>
          <w:color w:val="auto"/>
          <w:highlight w:val="none"/>
        </w:rPr>
        <w:t xml:space="preserve"> </w:t>
      </w:r>
      <w:r>
        <w:rPr>
          <w:rFonts w:hint="eastAsia" w:ascii="Times New Roman"/>
          <w:color w:val="auto"/>
          <w:highlight w:val="none"/>
        </w:rPr>
        <w:t>50288 灌溉与排水工程设计规范</w:t>
      </w:r>
    </w:p>
    <w:p w14:paraId="42315CD0">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ascii="Times New Roman"/>
          <w:color w:val="auto"/>
          <w:highlight w:val="none"/>
        </w:rPr>
        <w:t>GB</w:t>
      </w:r>
      <w:r>
        <w:rPr>
          <w:rFonts w:hint="eastAsia" w:ascii="Times New Roman"/>
          <w:color w:val="auto"/>
          <w:highlight w:val="none"/>
        </w:rPr>
        <w:t>/T</w:t>
      </w:r>
      <w:r>
        <w:rPr>
          <w:rFonts w:ascii="Times New Roman"/>
          <w:color w:val="auto"/>
          <w:highlight w:val="none"/>
        </w:rPr>
        <w:t xml:space="preserve"> </w:t>
      </w:r>
      <w:r>
        <w:rPr>
          <w:rFonts w:hint="eastAsia" w:ascii="Times New Roman"/>
          <w:color w:val="auto"/>
          <w:highlight w:val="none"/>
        </w:rPr>
        <w:t>5084 农田灌溉水质标准</w:t>
      </w:r>
    </w:p>
    <w:p w14:paraId="110155CE">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highlight w:val="none"/>
        </w:rPr>
      </w:pPr>
      <w:r>
        <w:rPr>
          <w:rFonts w:ascii="Times New Roman"/>
          <w:color w:val="auto"/>
          <w:highlight w:val="none"/>
        </w:rPr>
        <w:t>GB</w:t>
      </w:r>
      <w:r>
        <w:rPr>
          <w:rFonts w:hint="eastAsia" w:ascii="Times New Roman"/>
          <w:color w:val="auto"/>
          <w:highlight w:val="none"/>
        </w:rPr>
        <w:t>/T</w:t>
      </w:r>
      <w:r>
        <w:rPr>
          <w:rFonts w:hint="eastAsia" w:ascii="Times New Roman"/>
          <w:color w:val="auto"/>
          <w:highlight w:val="none"/>
          <w:lang w:val="en-US" w:eastAsia="zh-CN"/>
        </w:rPr>
        <w:t xml:space="preserve"> </w:t>
      </w:r>
      <w:r>
        <w:rPr>
          <w:rFonts w:hint="eastAsia" w:ascii="Times New Roman"/>
          <w:color w:val="auto"/>
          <w:highlight w:val="none"/>
        </w:rPr>
        <w:t>50026工程测量规范</w:t>
      </w:r>
    </w:p>
    <w:p w14:paraId="739A9E94">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ascii="Times New Roman"/>
          <w:color w:val="auto"/>
          <w:highlight w:val="none"/>
        </w:rPr>
        <w:t>GB</w:t>
      </w:r>
      <w:r>
        <w:rPr>
          <w:rFonts w:hint="eastAsia" w:ascii="Times New Roman"/>
          <w:color w:val="auto"/>
          <w:highlight w:val="none"/>
        </w:rPr>
        <w:t>/T</w:t>
      </w:r>
      <w:r>
        <w:rPr>
          <w:rFonts w:hint="eastAsia" w:ascii="Times New Roman"/>
          <w:color w:val="auto"/>
          <w:highlight w:val="none"/>
          <w:lang w:val="en-US" w:eastAsia="zh-CN"/>
        </w:rPr>
        <w:t xml:space="preserve"> </w:t>
      </w:r>
      <w:r>
        <w:rPr>
          <w:rFonts w:hint="eastAsia" w:ascii="Times New Roman"/>
          <w:color w:val="auto"/>
          <w:highlight w:val="none"/>
        </w:rPr>
        <w:t>21010土地利用现状分类</w:t>
      </w:r>
    </w:p>
    <w:p w14:paraId="04872D9A">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ascii="Times New Roman"/>
          <w:color w:val="auto"/>
          <w:highlight w:val="none"/>
        </w:rPr>
        <w:t>GB</w:t>
      </w:r>
      <w:r>
        <w:rPr>
          <w:rFonts w:hint="eastAsia" w:ascii="Times New Roman"/>
          <w:color w:val="auto"/>
          <w:highlight w:val="none"/>
        </w:rPr>
        <w:t>/T</w:t>
      </w:r>
      <w:r>
        <w:rPr>
          <w:rFonts w:hint="eastAsia" w:ascii="Times New Roman"/>
          <w:color w:val="auto"/>
          <w:highlight w:val="none"/>
          <w:lang w:val="en-US" w:eastAsia="zh-CN"/>
        </w:rPr>
        <w:t xml:space="preserve"> </w:t>
      </w:r>
      <w:r>
        <w:rPr>
          <w:rFonts w:hint="eastAsia" w:ascii="Times New Roman"/>
          <w:color w:val="auto"/>
          <w:highlight w:val="none"/>
        </w:rPr>
        <w:t>6682分析实验室用水规格和试验方法</w:t>
      </w:r>
    </w:p>
    <w:p w14:paraId="6F158A48">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kern w:val="2"/>
          <w:highlight w:val="none"/>
        </w:rPr>
      </w:pPr>
      <w:r>
        <w:rPr>
          <w:rFonts w:ascii="Times New Roman"/>
          <w:color w:val="auto"/>
          <w:kern w:val="2"/>
          <w:highlight w:val="none"/>
        </w:rPr>
        <w:t>GB/T</w:t>
      </w:r>
      <w:r>
        <w:rPr>
          <w:rFonts w:hint="eastAsia" w:ascii="Times New Roman"/>
          <w:color w:val="auto"/>
          <w:kern w:val="2"/>
          <w:highlight w:val="none"/>
        </w:rPr>
        <w:t xml:space="preserve"> </w:t>
      </w:r>
      <w:r>
        <w:rPr>
          <w:rFonts w:ascii="Times New Roman"/>
          <w:color w:val="auto"/>
          <w:kern w:val="2"/>
          <w:highlight w:val="none"/>
        </w:rPr>
        <w:t>1</w:t>
      </w:r>
      <w:r>
        <w:rPr>
          <w:rFonts w:hint="eastAsia" w:ascii="Times New Roman"/>
          <w:color w:val="auto"/>
          <w:kern w:val="2"/>
          <w:highlight w:val="none"/>
        </w:rPr>
        <w:t>9647 农田排水用塑料单壁波纹管</w:t>
      </w:r>
    </w:p>
    <w:p w14:paraId="6D523FD4">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kern w:val="2"/>
          <w:highlight w:val="none"/>
        </w:rPr>
      </w:pPr>
      <w:r>
        <w:rPr>
          <w:rFonts w:ascii="Times New Roman"/>
          <w:color w:val="auto"/>
          <w:kern w:val="2"/>
          <w:highlight w:val="none"/>
        </w:rPr>
        <w:t>GB</w:t>
      </w:r>
      <w:r>
        <w:rPr>
          <w:rFonts w:hint="eastAsia" w:ascii="Times New Roman"/>
          <w:color w:val="auto"/>
          <w:highlight w:val="none"/>
        </w:rPr>
        <w:t>/T</w:t>
      </w:r>
      <w:r>
        <w:rPr>
          <w:rFonts w:hint="eastAsia" w:ascii="Times New Roman"/>
          <w:color w:val="auto"/>
          <w:highlight w:val="none"/>
          <w:lang w:val="en-US" w:eastAsia="zh-CN"/>
        </w:rPr>
        <w:t xml:space="preserve"> </w:t>
      </w:r>
      <w:r>
        <w:rPr>
          <w:rFonts w:hint="eastAsia" w:ascii="Times New Roman"/>
          <w:color w:val="auto"/>
          <w:kern w:val="2"/>
          <w:highlight w:val="none"/>
        </w:rPr>
        <w:t>50201 防洪标准</w:t>
      </w:r>
    </w:p>
    <w:p w14:paraId="787AA0D2">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GB/T</w:t>
      </w:r>
      <w:r>
        <w:rPr>
          <w:rFonts w:hint="eastAsia" w:ascii="Times New Roman"/>
          <w:color w:val="auto"/>
          <w:kern w:val="2"/>
          <w:highlight w:val="none"/>
          <w:lang w:val="en-US" w:eastAsia="zh-CN"/>
        </w:rPr>
        <w:t xml:space="preserve"> </w:t>
      </w:r>
      <w:r>
        <w:rPr>
          <w:rFonts w:hint="eastAsia" w:ascii="Times New Roman"/>
          <w:color w:val="auto"/>
          <w:kern w:val="2"/>
          <w:highlight w:val="none"/>
        </w:rPr>
        <w:t>50265 泵站设计规范</w:t>
      </w:r>
    </w:p>
    <w:p w14:paraId="715E7262">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GB/T</w:t>
      </w:r>
      <w:r>
        <w:rPr>
          <w:rFonts w:hint="eastAsia" w:ascii="Times New Roman"/>
          <w:color w:val="auto"/>
          <w:kern w:val="2"/>
          <w:highlight w:val="none"/>
          <w:lang w:val="en-US" w:eastAsia="zh-CN"/>
        </w:rPr>
        <w:t xml:space="preserve"> </w:t>
      </w:r>
      <w:r>
        <w:rPr>
          <w:rFonts w:hint="eastAsia" w:ascii="Times New Roman"/>
          <w:color w:val="auto"/>
          <w:kern w:val="2"/>
          <w:highlight w:val="none"/>
        </w:rPr>
        <w:t>5062 机井技术规范</w:t>
      </w:r>
    </w:p>
    <w:p w14:paraId="1AF9D947">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GB/T</w:t>
      </w:r>
      <w:r>
        <w:rPr>
          <w:rFonts w:hint="eastAsia" w:ascii="Times New Roman"/>
          <w:color w:val="auto"/>
          <w:kern w:val="2"/>
          <w:highlight w:val="none"/>
          <w:lang w:val="en-US" w:eastAsia="zh-CN"/>
        </w:rPr>
        <w:t xml:space="preserve"> </w:t>
      </w:r>
      <w:r>
        <w:rPr>
          <w:rFonts w:hint="eastAsia" w:ascii="Times New Roman"/>
          <w:color w:val="auto"/>
          <w:kern w:val="2"/>
          <w:highlight w:val="none"/>
        </w:rPr>
        <w:t>51033 水利泵站施工及验收规范</w:t>
      </w:r>
    </w:p>
    <w:p w14:paraId="0351E217">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kern w:val="2"/>
          <w:highlight w:val="none"/>
        </w:rPr>
      </w:pPr>
      <w:r>
        <w:rPr>
          <w:rFonts w:ascii="Times New Roman"/>
          <w:color w:val="auto"/>
          <w:kern w:val="2"/>
          <w:highlight w:val="none"/>
        </w:rPr>
        <w:t xml:space="preserve">GB/T </w:t>
      </w:r>
      <w:r>
        <w:rPr>
          <w:rFonts w:hint="eastAsia" w:ascii="Times New Roman"/>
          <w:color w:val="auto"/>
          <w:kern w:val="2"/>
          <w:highlight w:val="none"/>
        </w:rPr>
        <w:t>13361技术制图通用术语</w:t>
      </w:r>
    </w:p>
    <w:p w14:paraId="0CE8EA9E">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GB</w:t>
      </w:r>
      <w:r>
        <w:rPr>
          <w:rFonts w:hint="eastAsia" w:ascii="Times New Roman"/>
          <w:color w:val="auto"/>
          <w:kern w:val="2"/>
          <w:highlight w:val="none"/>
          <w:lang w:val="en-US" w:eastAsia="zh-CN"/>
        </w:rPr>
        <w:t xml:space="preserve"> </w:t>
      </w:r>
      <w:r>
        <w:rPr>
          <w:rFonts w:hint="eastAsia" w:ascii="Times New Roman"/>
          <w:color w:val="auto"/>
          <w:kern w:val="2"/>
          <w:highlight w:val="none"/>
        </w:rPr>
        <w:t>8978 污水综合排放标准</w:t>
      </w:r>
    </w:p>
    <w:p w14:paraId="27504168">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GB</w:t>
      </w:r>
      <w:r>
        <w:rPr>
          <w:rFonts w:hint="eastAsia" w:ascii="Times New Roman"/>
          <w:color w:val="auto"/>
          <w:kern w:val="2"/>
          <w:highlight w:val="none"/>
          <w:lang w:val="en-US" w:eastAsia="zh-CN"/>
        </w:rPr>
        <w:t xml:space="preserve"> </w:t>
      </w:r>
      <w:r>
        <w:rPr>
          <w:rFonts w:hint="eastAsia" w:ascii="Times New Roman"/>
          <w:color w:val="auto"/>
          <w:kern w:val="2"/>
          <w:highlight w:val="none"/>
        </w:rPr>
        <w:t>3838 地面水环境质量标准</w:t>
      </w:r>
    </w:p>
    <w:p w14:paraId="492E06A8">
      <w:pPr>
        <w:pStyle w:val="25"/>
        <w:keepNext w:val="0"/>
        <w:keepLines w:val="0"/>
        <w:pageBreakBefore w:val="0"/>
        <w:widowControl/>
        <w:kinsoku/>
        <w:wordWrap/>
        <w:overflowPunct/>
        <w:topLinePunct w:val="0"/>
        <w:autoSpaceDE w:val="0"/>
        <w:autoSpaceDN w:val="0"/>
        <w:bidi w:val="0"/>
        <w:adjustRightInd/>
        <w:snapToGrid/>
        <w:spacing w:line="240" w:lineRule="auto"/>
        <w:ind w:left="0" w:leftChars="0" w:firstLine="420" w:firstLineChars="200"/>
        <w:textAlignment w:val="auto"/>
        <w:rPr>
          <w:rFonts w:hint="eastAsia" w:ascii="Times New Roman"/>
          <w:color w:val="auto"/>
          <w:kern w:val="2"/>
          <w:highlight w:val="none"/>
        </w:rPr>
      </w:pPr>
      <w:r>
        <w:rPr>
          <w:rFonts w:ascii="Times New Roman"/>
          <w:color w:val="auto"/>
          <w:kern w:val="2"/>
          <w:highlight w:val="none"/>
        </w:rPr>
        <w:t>GB</w:t>
      </w:r>
      <w:r>
        <w:rPr>
          <w:rFonts w:hint="eastAsia" w:ascii="Times New Roman"/>
          <w:color w:val="auto"/>
          <w:kern w:val="2"/>
          <w:highlight w:val="none"/>
          <w:lang w:val="en-US" w:eastAsia="zh-CN"/>
        </w:rPr>
        <w:t xml:space="preserve"> </w:t>
      </w:r>
      <w:r>
        <w:rPr>
          <w:rFonts w:ascii="Times New Roman"/>
          <w:color w:val="auto"/>
          <w:kern w:val="2"/>
          <w:highlight w:val="none"/>
        </w:rPr>
        <w:t>15618 国家土壤质量标准</w:t>
      </w:r>
    </w:p>
    <w:p w14:paraId="0DCA3F4E">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ascii="Times New Roman"/>
          <w:color w:val="auto"/>
          <w:kern w:val="2"/>
          <w:highlight w:val="none"/>
        </w:rPr>
        <w:t>GB</w:t>
      </w:r>
      <w:r>
        <w:rPr>
          <w:rFonts w:hint="eastAsia" w:ascii="Times New Roman"/>
          <w:color w:val="auto"/>
          <w:kern w:val="2"/>
          <w:highlight w:val="none"/>
          <w:lang w:val="en-US" w:eastAsia="zh-CN"/>
        </w:rPr>
        <w:t xml:space="preserve"> </w:t>
      </w:r>
      <w:r>
        <w:rPr>
          <w:rFonts w:hint="eastAsia" w:ascii="Times New Roman"/>
          <w:color w:val="auto"/>
          <w:kern w:val="2"/>
          <w:highlight w:val="none"/>
        </w:rPr>
        <w:t>50007 建筑地基基础设计规范</w:t>
      </w:r>
    </w:p>
    <w:p w14:paraId="7DA01C86">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kern w:val="2"/>
          <w:highlight w:val="none"/>
        </w:rPr>
      </w:pPr>
      <w:r>
        <w:rPr>
          <w:rFonts w:hint="eastAsia" w:ascii="Times New Roman"/>
          <w:color w:val="auto"/>
          <w:kern w:val="2"/>
          <w:highlight w:val="none"/>
        </w:rPr>
        <w:t>SL</w:t>
      </w:r>
      <w:r>
        <w:rPr>
          <w:rFonts w:ascii="Times New Roman"/>
          <w:color w:val="auto"/>
          <w:kern w:val="2"/>
          <w:highlight w:val="none"/>
        </w:rPr>
        <w:t xml:space="preserve">/T </w:t>
      </w:r>
      <w:r>
        <w:rPr>
          <w:rFonts w:hint="eastAsia" w:ascii="Times New Roman"/>
          <w:color w:val="auto"/>
          <w:kern w:val="2"/>
          <w:highlight w:val="none"/>
        </w:rPr>
        <w:t>4 农田排水工程技术规范</w:t>
      </w:r>
    </w:p>
    <w:p w14:paraId="0C9AB34B">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SL 109 农田排水试验规范</w:t>
      </w:r>
    </w:p>
    <w:p w14:paraId="36B7C63C">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SL 73</w:t>
      </w:r>
      <w:r>
        <w:rPr>
          <w:rFonts w:ascii="Times New Roman"/>
          <w:color w:val="auto"/>
          <w:kern w:val="2"/>
          <w:highlight w:val="none"/>
        </w:rPr>
        <w:t xml:space="preserve"> </w:t>
      </w:r>
      <w:r>
        <w:rPr>
          <w:rFonts w:hint="eastAsia" w:ascii="Times New Roman"/>
          <w:color w:val="auto"/>
          <w:kern w:val="2"/>
          <w:highlight w:val="none"/>
        </w:rPr>
        <w:t>水利水电工程制图标准</w:t>
      </w:r>
    </w:p>
    <w:p w14:paraId="1B9DF324">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SL 79</w:t>
      </w:r>
      <w:r>
        <w:rPr>
          <w:rFonts w:ascii="Times New Roman"/>
          <w:color w:val="auto"/>
          <w:kern w:val="2"/>
          <w:highlight w:val="none"/>
        </w:rPr>
        <w:t xml:space="preserve"> 矿化度的测定（重量法）</w:t>
      </w:r>
    </w:p>
    <w:p w14:paraId="56D7B9A9">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SL 197 水利水电建设测量规范</w:t>
      </w:r>
    </w:p>
    <w:p w14:paraId="5F276DF4">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SL 223 水利水电建设工程验收规程</w:t>
      </w:r>
    </w:p>
    <w:p w14:paraId="6EA44961">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SL 72 水利建设项目经济评价规范</w:t>
      </w:r>
    </w:p>
    <w:p w14:paraId="4BCCF9AE">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hint="eastAsia" w:ascii="Times New Roman"/>
          <w:color w:val="auto"/>
          <w:kern w:val="2"/>
          <w:highlight w:val="none"/>
        </w:rPr>
        <w:t>SDJ 302 水利水电工程环境影响评价规范</w:t>
      </w:r>
    </w:p>
    <w:p w14:paraId="36C15D1B">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highlight w:val="none"/>
        </w:rPr>
      </w:pPr>
      <w:r>
        <w:rPr>
          <w:rFonts w:ascii="Times New Roman"/>
          <w:color w:val="auto"/>
          <w:kern w:val="2"/>
          <w:highlight w:val="none"/>
        </w:rPr>
        <w:t>SL56 农村水利技术术语</w:t>
      </w:r>
    </w:p>
    <w:p w14:paraId="4BB97403">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highlight w:val="none"/>
        </w:rPr>
      </w:pPr>
      <w:r>
        <w:rPr>
          <w:rFonts w:ascii="Times New Roman"/>
          <w:color w:val="auto"/>
          <w:highlight w:val="none"/>
        </w:rPr>
        <w:t>SL 540 光伏提水工程技术规范</w:t>
      </w:r>
    </w:p>
    <w:p w14:paraId="2D478701">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szCs w:val="22"/>
          <w:highlight w:val="none"/>
        </w:rPr>
      </w:pPr>
      <w:r>
        <w:rPr>
          <w:rFonts w:hint="eastAsia" w:ascii="Times New Roman"/>
          <w:color w:val="auto"/>
          <w:szCs w:val="22"/>
          <w:highlight w:val="none"/>
        </w:rPr>
        <w:t>SL715 水利信息系统运行维护规范</w:t>
      </w:r>
    </w:p>
    <w:p w14:paraId="4AF3CC8B">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default" w:ascii="Times New Roman" w:eastAsia="宋体"/>
          <w:color w:val="auto"/>
          <w:kern w:val="2"/>
          <w:szCs w:val="22"/>
          <w:highlight w:val="none"/>
          <w:lang w:val="en-US" w:eastAsia="zh-CN"/>
        </w:rPr>
      </w:pPr>
      <w:r>
        <w:rPr>
          <w:rFonts w:hint="eastAsia" w:ascii="Times New Roman"/>
          <w:color w:val="auto"/>
          <w:kern w:val="2"/>
          <w:szCs w:val="22"/>
          <w:highlight w:val="none"/>
          <w:lang w:val="en-US" w:eastAsia="zh-CN"/>
        </w:rPr>
        <w:t>NY/T 1121 土壤检测</w:t>
      </w:r>
    </w:p>
    <w:p w14:paraId="17BB5BD1">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highlight w:val="none"/>
        </w:rPr>
      </w:pPr>
      <w:r>
        <w:rPr>
          <w:rFonts w:hint="eastAsia" w:ascii="Times New Roman"/>
          <w:color w:val="auto"/>
          <w:szCs w:val="22"/>
          <w:highlight w:val="none"/>
        </w:rPr>
        <w:t>DB64/1529 宁夏引黄灌区农田水利基本建设技术规范</w:t>
      </w:r>
    </w:p>
    <w:p w14:paraId="7169E6DA">
      <w:pPr>
        <w:pStyle w:val="90"/>
        <w:keepNext w:val="0"/>
        <w:keepLines w:val="0"/>
        <w:pageBreakBefore w:val="0"/>
        <w:widowControl/>
        <w:kinsoku/>
        <w:wordWrap/>
        <w:overflowPunct/>
        <w:topLinePunct w:val="0"/>
        <w:autoSpaceDE/>
        <w:autoSpaceDN/>
        <w:bidi w:val="0"/>
        <w:adjustRightInd w:val="0"/>
        <w:snapToGrid w:val="0"/>
        <w:spacing w:before="313" w:beforeLines="100" w:after="313" w:afterLines="100"/>
        <w:textAlignment w:val="auto"/>
        <w:rPr>
          <w:rFonts w:hint="eastAsia" w:hAnsi="Times New Roman" w:cs="Times New Roman"/>
          <w:color w:val="auto"/>
          <w:highlight w:val="none"/>
        </w:rPr>
      </w:pPr>
      <w:bookmarkStart w:id="33" w:name="_Toc520706068"/>
      <w:bookmarkEnd w:id="33"/>
      <w:bookmarkStart w:id="34" w:name="_Toc520705877"/>
      <w:bookmarkEnd w:id="34"/>
      <w:bookmarkStart w:id="35" w:name="_Toc299889739"/>
      <w:bookmarkStart w:id="36" w:name="_Toc32295"/>
      <w:bookmarkStart w:id="37" w:name="_Toc4871"/>
      <w:bookmarkStart w:id="38" w:name="_Toc9922"/>
      <w:bookmarkStart w:id="39" w:name="_Toc12271"/>
      <w:bookmarkStart w:id="40" w:name="_Toc23580"/>
      <w:bookmarkStart w:id="41" w:name="_Toc4335"/>
      <w:bookmarkStart w:id="42" w:name="_Toc520709288"/>
      <w:bookmarkStart w:id="43" w:name="_Toc29188"/>
      <w:bookmarkStart w:id="44" w:name="_Toc522140469"/>
      <w:bookmarkStart w:id="45" w:name="_Toc520823441"/>
      <w:r>
        <w:rPr>
          <w:rFonts w:hint="eastAsia" w:hAnsi="Times New Roman" w:cs="Times New Roman"/>
          <w:color w:val="auto"/>
          <w:highlight w:val="none"/>
        </w:rPr>
        <w:t>术语和定义</w:t>
      </w:r>
      <w:bookmarkEnd w:id="35"/>
      <w:bookmarkEnd w:id="36"/>
      <w:bookmarkEnd w:id="37"/>
      <w:bookmarkEnd w:id="38"/>
      <w:bookmarkEnd w:id="39"/>
      <w:bookmarkEnd w:id="40"/>
      <w:bookmarkEnd w:id="41"/>
      <w:bookmarkEnd w:id="42"/>
      <w:bookmarkEnd w:id="43"/>
      <w:bookmarkEnd w:id="44"/>
      <w:bookmarkEnd w:id="45"/>
    </w:p>
    <w:p w14:paraId="09C19BBE">
      <w:pPr>
        <w:pStyle w:val="25"/>
        <w:keepNext w:val="0"/>
        <w:keepLines w:val="0"/>
        <w:pageBreakBefore w:val="0"/>
        <w:widowControl/>
        <w:kinsoku/>
        <w:wordWrap/>
        <w:overflowPunct/>
        <w:topLinePunct w:val="0"/>
        <w:bidi w:val="0"/>
        <w:adjustRightInd w:val="0"/>
        <w:snapToGrid w:val="0"/>
        <w:spacing w:line="360" w:lineRule="exact"/>
        <w:textAlignment w:val="auto"/>
        <w:rPr>
          <w:rFonts w:hint="eastAsia"/>
          <w:color w:val="auto"/>
          <w:highlight w:val="none"/>
        </w:rPr>
      </w:pPr>
      <w:r>
        <w:rPr>
          <w:rFonts w:hint="eastAsia"/>
          <w:color w:val="auto"/>
          <w:highlight w:val="none"/>
        </w:rPr>
        <w:t>下列术语和定义适用于本规</w:t>
      </w:r>
      <w:r>
        <w:rPr>
          <w:rFonts w:hint="eastAsia"/>
          <w:color w:val="auto"/>
          <w:highlight w:val="none"/>
          <w:lang w:val="en-US" w:eastAsia="zh-CN"/>
        </w:rPr>
        <w:t>程</w:t>
      </w:r>
      <w:r>
        <w:rPr>
          <w:rFonts w:hint="eastAsia"/>
          <w:color w:val="auto"/>
          <w:highlight w:val="none"/>
        </w:rPr>
        <w:t>。</w:t>
      </w:r>
    </w:p>
    <w:p w14:paraId="77268D27">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color w:val="auto"/>
          <w:highlight w:val="none"/>
        </w:rPr>
      </w:pPr>
      <w:bookmarkStart w:id="46" w:name="_Toc520823442"/>
      <w:bookmarkStart w:id="47" w:name="_Toc522140470"/>
      <w:bookmarkStart w:id="48" w:name="_Toc24935"/>
      <w:bookmarkStart w:id="49" w:name="_Toc6028"/>
      <w:bookmarkStart w:id="50" w:name="_Toc299889740"/>
      <w:bookmarkStart w:id="51" w:name="_Toc17017"/>
      <w:r>
        <w:rPr>
          <w:color w:val="auto"/>
          <w:highlight w:val="none"/>
        </w:rPr>
        <w:t xml:space="preserve">暗管排水工程  </w:t>
      </w:r>
      <w:r>
        <w:rPr>
          <w:rFonts w:hint="eastAsia"/>
          <w:color w:val="auto"/>
          <w:highlight w:val="none"/>
        </w:rPr>
        <w:t xml:space="preserve">subsurface </w:t>
      </w:r>
      <w:r>
        <w:rPr>
          <w:color w:val="auto"/>
          <w:highlight w:val="none"/>
        </w:rPr>
        <w:t>pipe drain project</w:t>
      </w:r>
      <w:bookmarkEnd w:id="46"/>
      <w:bookmarkEnd w:id="47"/>
      <w:bookmarkEnd w:id="48"/>
      <w:bookmarkEnd w:id="49"/>
      <w:bookmarkEnd w:id="50"/>
      <w:bookmarkEnd w:id="51"/>
    </w:p>
    <w:p w14:paraId="6A207DF2">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ascii="Times New Roman"/>
          <w:color w:val="auto"/>
          <w:szCs w:val="22"/>
          <w:highlight w:val="none"/>
        </w:rPr>
        <w:t>采用地下埋设管道用于排除农田多余水分，降低地下水位，改善土壤环境的农田排水工程。</w:t>
      </w:r>
    </w:p>
    <w:p w14:paraId="00F4FA9D">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color w:val="auto"/>
          <w:highlight w:val="none"/>
        </w:rPr>
      </w:pPr>
      <w:bookmarkStart w:id="52" w:name="_Toc522140472"/>
      <w:bookmarkStart w:id="53" w:name="_Toc6649"/>
      <w:bookmarkStart w:id="54" w:name="_Toc2595"/>
      <w:bookmarkStart w:id="55" w:name="_Toc520823444"/>
      <w:bookmarkStart w:id="56" w:name="_Toc27238"/>
      <w:bookmarkStart w:id="57" w:name="_Toc299889742"/>
      <w:bookmarkStart w:id="58" w:name="_Toc761"/>
      <w:bookmarkStart w:id="59" w:name="_Toc23437"/>
      <w:bookmarkStart w:id="60" w:name="_Toc6783"/>
      <w:bookmarkStart w:id="61" w:name="_Toc520823443"/>
      <w:bookmarkStart w:id="62" w:name="_Toc11779"/>
      <w:bookmarkStart w:id="63" w:name="_Toc299889741"/>
      <w:bookmarkStart w:id="64" w:name="_Toc10334"/>
      <w:bookmarkStart w:id="65" w:name="_Toc17165"/>
      <w:bookmarkStart w:id="66" w:name="_Toc522140471"/>
      <w:bookmarkStart w:id="67" w:name="_Toc25373"/>
      <w:bookmarkStart w:id="68" w:name="_Toc26434"/>
      <w:bookmarkStart w:id="69" w:name="_Toc9161"/>
      <w:r>
        <w:rPr>
          <w:rFonts w:hint="eastAsia"/>
          <w:color w:val="auto"/>
          <w:highlight w:val="none"/>
        </w:rPr>
        <w:t>吸水管 suction pipe</w:t>
      </w:r>
      <w:bookmarkEnd w:id="52"/>
      <w:bookmarkEnd w:id="53"/>
      <w:bookmarkEnd w:id="54"/>
      <w:bookmarkEnd w:id="55"/>
      <w:bookmarkEnd w:id="56"/>
      <w:bookmarkEnd w:id="57"/>
      <w:bookmarkEnd w:id="58"/>
      <w:bookmarkEnd w:id="59"/>
      <w:bookmarkEnd w:id="60"/>
    </w:p>
    <w:p w14:paraId="77CCA4CB">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ascii="Times New Roman"/>
          <w:color w:val="auto"/>
          <w:szCs w:val="22"/>
          <w:highlight w:val="none"/>
        </w:rPr>
        <w:t>管壁上有进水孔或管节间有缝隙，直接收集土壤中多余水分并排到集水管或排水明沟中的地下管道。</w:t>
      </w:r>
    </w:p>
    <w:p w14:paraId="301A395D">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color w:val="auto"/>
          <w:highlight w:val="none"/>
        </w:rPr>
      </w:pPr>
      <w:bookmarkStart w:id="70" w:name="_Toc522140473"/>
      <w:bookmarkStart w:id="71" w:name="_Toc520823445"/>
      <w:bookmarkStart w:id="72" w:name="_Toc299889743"/>
      <w:r>
        <w:rPr>
          <w:rFonts w:hint="eastAsia"/>
          <w:color w:val="auto"/>
          <w:highlight w:val="none"/>
        </w:rPr>
        <w:t>集水管 collecting pipe</w:t>
      </w:r>
      <w:bookmarkEnd w:id="70"/>
      <w:bookmarkEnd w:id="71"/>
      <w:bookmarkEnd w:id="72"/>
    </w:p>
    <w:p w14:paraId="17579E31">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hint="eastAsia" w:ascii="Times New Roman"/>
          <w:color w:val="auto"/>
          <w:szCs w:val="22"/>
          <w:highlight w:val="none"/>
        </w:rPr>
      </w:pPr>
      <w:r>
        <w:rPr>
          <w:rFonts w:hint="eastAsia" w:ascii="Times New Roman"/>
          <w:color w:val="auto"/>
          <w:szCs w:val="22"/>
          <w:highlight w:val="none"/>
        </w:rPr>
        <w:t>汇集吸水管排出的水流，输送到集水井或排入承泄区的管道。</w:t>
      </w:r>
    </w:p>
    <w:p w14:paraId="163D5748">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color w:val="auto"/>
          <w:highlight w:val="none"/>
        </w:rPr>
      </w:pPr>
      <w:bookmarkStart w:id="73" w:name="_Toc522140474"/>
      <w:bookmarkStart w:id="74" w:name="_Toc520823446"/>
      <w:bookmarkStart w:id="75" w:name="_Toc299889744"/>
      <w:r>
        <w:rPr>
          <w:rFonts w:hint="eastAsia"/>
          <w:color w:val="auto"/>
          <w:highlight w:val="none"/>
        </w:rPr>
        <w:t>连接井 connecting well</w:t>
      </w:r>
      <w:bookmarkEnd w:id="73"/>
      <w:bookmarkEnd w:id="74"/>
      <w:bookmarkEnd w:id="75"/>
    </w:p>
    <w:p w14:paraId="0107C41D">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hint="eastAsia" w:ascii="Times New Roman"/>
          <w:color w:val="auto"/>
          <w:szCs w:val="22"/>
          <w:highlight w:val="none"/>
        </w:rPr>
        <w:t>用于超过管长限制的吸水管之间或吸水管与集水管之间的连接建筑物，兼有检查井功能。</w:t>
      </w:r>
    </w:p>
    <w:p w14:paraId="0F85FEE8">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color w:val="auto"/>
          <w:highlight w:val="none"/>
        </w:rPr>
      </w:pPr>
      <w:bookmarkStart w:id="76" w:name="_Toc3252"/>
      <w:bookmarkStart w:id="77" w:name="_Toc299889745"/>
      <w:bookmarkStart w:id="78" w:name="_Toc12496"/>
      <w:bookmarkStart w:id="79" w:name="_Toc17033"/>
      <w:bookmarkStart w:id="80" w:name="_Toc829"/>
      <w:bookmarkStart w:id="81" w:name="_Toc9186"/>
      <w:bookmarkStart w:id="82" w:name="_Toc29140"/>
      <w:bookmarkStart w:id="83" w:name="_Toc522140475"/>
      <w:bookmarkStart w:id="84" w:name="_Toc520823447"/>
      <w:r>
        <w:rPr>
          <w:rFonts w:hint="eastAsia"/>
          <w:color w:val="auto"/>
          <w:highlight w:val="none"/>
        </w:rPr>
        <w:t>检</w:t>
      </w:r>
      <w:r>
        <w:rPr>
          <w:color w:val="auto"/>
          <w:highlight w:val="none"/>
        </w:rPr>
        <w:t>查井</w:t>
      </w:r>
      <w:r>
        <w:rPr>
          <w:rFonts w:hint="eastAsia"/>
          <w:color w:val="auto"/>
          <w:highlight w:val="none"/>
        </w:rPr>
        <w:t xml:space="preserve"> inspecion well</w:t>
      </w:r>
      <w:bookmarkEnd w:id="76"/>
      <w:bookmarkEnd w:id="77"/>
      <w:bookmarkEnd w:id="78"/>
      <w:bookmarkEnd w:id="79"/>
      <w:bookmarkEnd w:id="80"/>
      <w:bookmarkEnd w:id="81"/>
      <w:bookmarkEnd w:id="82"/>
      <w:bookmarkEnd w:id="83"/>
      <w:bookmarkEnd w:id="84"/>
    </w:p>
    <w:p w14:paraId="34A8BA69">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ascii="Times New Roman"/>
          <w:color w:val="auto"/>
          <w:szCs w:val="22"/>
          <w:highlight w:val="none"/>
        </w:rPr>
        <w:t>用于检查吸水管或集水管工作状态，清洗管道淤积物、维护管道正常运行的地下建筑物。</w:t>
      </w:r>
    </w:p>
    <w:p w14:paraId="51B241F4">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color w:val="auto"/>
          <w:highlight w:val="none"/>
        </w:rPr>
      </w:pPr>
      <w:bookmarkStart w:id="85" w:name="_Toc26422"/>
      <w:bookmarkStart w:id="86" w:name="_Toc28435"/>
      <w:bookmarkStart w:id="87" w:name="_Toc522140476"/>
      <w:bookmarkStart w:id="88" w:name="_Toc17694"/>
      <w:bookmarkStart w:id="89" w:name="_Toc23199"/>
      <w:bookmarkStart w:id="90" w:name="_Toc520823448"/>
      <w:bookmarkStart w:id="91" w:name="_Toc299889746"/>
      <w:bookmarkStart w:id="92" w:name="_Toc18038"/>
      <w:bookmarkStart w:id="93" w:name="_Toc29245"/>
      <w:r>
        <w:rPr>
          <w:rFonts w:hint="eastAsia"/>
          <w:color w:val="auto"/>
          <w:highlight w:val="none"/>
        </w:rPr>
        <w:t>集水井 collecting well</w:t>
      </w:r>
      <w:bookmarkEnd w:id="85"/>
      <w:bookmarkEnd w:id="86"/>
      <w:bookmarkEnd w:id="87"/>
      <w:bookmarkEnd w:id="88"/>
      <w:bookmarkEnd w:id="89"/>
      <w:bookmarkEnd w:id="90"/>
      <w:bookmarkEnd w:id="91"/>
      <w:bookmarkEnd w:id="92"/>
      <w:bookmarkEnd w:id="93"/>
    </w:p>
    <w:p w14:paraId="21C57C76">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ascii="Times New Roman"/>
          <w:color w:val="auto"/>
          <w:szCs w:val="22"/>
          <w:highlight w:val="none"/>
        </w:rPr>
        <w:t>汇集集水管水流的地下储水建筑物。</w:t>
      </w:r>
    </w:p>
    <w:p w14:paraId="43F6C8BD">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color w:val="auto"/>
          <w:highlight w:val="none"/>
        </w:rPr>
      </w:pPr>
      <w:bookmarkStart w:id="94" w:name="_Toc9031"/>
      <w:bookmarkStart w:id="95" w:name="_Toc12406"/>
      <w:bookmarkStart w:id="96" w:name="_Toc10201"/>
      <w:bookmarkStart w:id="97" w:name="_Toc5938"/>
      <w:bookmarkStart w:id="98" w:name="_Toc20736"/>
      <w:bookmarkStart w:id="99" w:name="_Toc22136"/>
      <w:bookmarkStart w:id="100" w:name="_Toc522140477"/>
      <w:bookmarkStart w:id="101" w:name="_Toc520823449"/>
      <w:bookmarkStart w:id="102" w:name="_Toc299889747"/>
      <w:r>
        <w:rPr>
          <w:rFonts w:hint="eastAsia"/>
          <w:color w:val="auto"/>
          <w:highlight w:val="none"/>
        </w:rPr>
        <w:t xml:space="preserve">暗管埋深 </w:t>
      </w:r>
      <w:bookmarkEnd w:id="94"/>
      <w:bookmarkEnd w:id="95"/>
      <w:bookmarkEnd w:id="96"/>
      <w:bookmarkEnd w:id="97"/>
      <w:bookmarkEnd w:id="98"/>
      <w:bookmarkEnd w:id="99"/>
      <w:r>
        <w:rPr>
          <w:rFonts w:hint="eastAsia"/>
          <w:color w:val="auto"/>
          <w:highlight w:val="none"/>
        </w:rPr>
        <w:t>buried depth of pipe drain</w:t>
      </w:r>
      <w:bookmarkEnd w:id="100"/>
      <w:bookmarkEnd w:id="101"/>
      <w:bookmarkEnd w:id="102"/>
    </w:p>
    <w:p w14:paraId="6511EE73">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ascii="Times New Roman"/>
          <w:color w:val="auto"/>
          <w:szCs w:val="22"/>
          <w:highlight w:val="none"/>
        </w:rPr>
        <w:t>埋入地下的吸水管或集水管中心线到地表的垂直距离。</w:t>
      </w:r>
    </w:p>
    <w:p w14:paraId="6316D4BD">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color w:val="auto"/>
          <w:highlight w:val="none"/>
        </w:rPr>
      </w:pPr>
      <w:bookmarkStart w:id="103" w:name="_Toc2309"/>
      <w:bookmarkStart w:id="104" w:name="_Toc16281"/>
      <w:bookmarkStart w:id="105" w:name="_Toc25433"/>
      <w:bookmarkStart w:id="106" w:name="_Toc27029"/>
      <w:bookmarkStart w:id="107" w:name="_Toc28498"/>
      <w:bookmarkStart w:id="108" w:name="_Toc1085"/>
      <w:bookmarkStart w:id="109" w:name="_Toc522140478"/>
      <w:bookmarkStart w:id="110" w:name="_Toc299889748"/>
      <w:bookmarkStart w:id="111" w:name="_Toc520823450"/>
      <w:r>
        <w:rPr>
          <w:rFonts w:hint="eastAsia"/>
          <w:color w:val="auto"/>
          <w:highlight w:val="none"/>
        </w:rPr>
        <w:t xml:space="preserve">暗管间距 </w:t>
      </w:r>
      <w:bookmarkEnd w:id="103"/>
      <w:bookmarkEnd w:id="104"/>
      <w:bookmarkEnd w:id="105"/>
      <w:bookmarkEnd w:id="106"/>
      <w:bookmarkEnd w:id="107"/>
      <w:bookmarkEnd w:id="108"/>
      <w:r>
        <w:rPr>
          <w:rFonts w:hint="eastAsia"/>
          <w:color w:val="auto"/>
          <w:highlight w:val="none"/>
        </w:rPr>
        <w:t>spacing of pipe drain</w:t>
      </w:r>
      <w:bookmarkEnd w:id="109"/>
      <w:bookmarkEnd w:id="110"/>
      <w:bookmarkEnd w:id="111"/>
    </w:p>
    <w:p w14:paraId="22500F77">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hint="eastAsia" w:ascii="Times New Roman"/>
          <w:color w:val="auto"/>
          <w:szCs w:val="22"/>
          <w:highlight w:val="none"/>
        </w:rPr>
        <w:t>相邻</w:t>
      </w:r>
      <w:r>
        <w:rPr>
          <w:rFonts w:ascii="Times New Roman"/>
          <w:color w:val="auto"/>
          <w:szCs w:val="22"/>
          <w:highlight w:val="none"/>
        </w:rPr>
        <w:t>两吸水管纵向轴线之间的距离。</w:t>
      </w:r>
    </w:p>
    <w:p w14:paraId="051E135B">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color w:val="auto"/>
          <w:highlight w:val="none"/>
        </w:rPr>
      </w:pPr>
      <w:bookmarkStart w:id="112" w:name="_Toc7586"/>
      <w:bookmarkStart w:id="113" w:name="_Toc12967"/>
      <w:bookmarkStart w:id="114" w:name="_Toc28083"/>
      <w:bookmarkStart w:id="115" w:name="_Toc6321"/>
      <w:bookmarkStart w:id="116" w:name="_Toc11686"/>
      <w:bookmarkStart w:id="117" w:name="_Toc1989"/>
      <w:bookmarkStart w:id="118" w:name="_Toc520823451"/>
      <w:bookmarkStart w:id="119" w:name="_Toc522140479"/>
      <w:bookmarkStart w:id="120" w:name="_Toc299889749"/>
      <w:r>
        <w:rPr>
          <w:rFonts w:hint="eastAsia"/>
          <w:color w:val="auto"/>
          <w:highlight w:val="none"/>
        </w:rPr>
        <w:t xml:space="preserve">暗管管径 diameter of </w:t>
      </w:r>
      <w:bookmarkEnd w:id="112"/>
      <w:bookmarkEnd w:id="113"/>
      <w:bookmarkEnd w:id="114"/>
      <w:bookmarkEnd w:id="115"/>
      <w:bookmarkEnd w:id="116"/>
      <w:bookmarkEnd w:id="117"/>
      <w:r>
        <w:rPr>
          <w:rFonts w:hint="eastAsia"/>
          <w:color w:val="auto"/>
          <w:highlight w:val="none"/>
        </w:rPr>
        <w:t>pipe drain</w:t>
      </w:r>
      <w:bookmarkEnd w:id="118"/>
      <w:bookmarkEnd w:id="119"/>
      <w:bookmarkEnd w:id="120"/>
    </w:p>
    <w:p w14:paraId="2EA20156">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ascii="Times New Roman"/>
          <w:color w:val="auto"/>
          <w:szCs w:val="22"/>
          <w:highlight w:val="none"/>
        </w:rPr>
        <w:t>剖面为圆形的吸水管或集水管的直径。</w:t>
      </w:r>
    </w:p>
    <w:p w14:paraId="1CDAB0F0">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color w:val="auto"/>
          <w:highlight w:val="none"/>
        </w:rPr>
      </w:pPr>
      <w:bookmarkStart w:id="121" w:name="_Toc14846"/>
      <w:bookmarkStart w:id="122" w:name="_Toc23412"/>
      <w:bookmarkStart w:id="123" w:name="_Toc31065"/>
      <w:bookmarkStart w:id="124" w:name="_Toc11895"/>
      <w:bookmarkStart w:id="125" w:name="_Toc21810"/>
      <w:bookmarkStart w:id="126" w:name="_Toc3034"/>
      <w:bookmarkStart w:id="127" w:name="_Toc522140480"/>
      <w:bookmarkStart w:id="128" w:name="_Toc299889750"/>
      <w:bookmarkStart w:id="129" w:name="_Toc520823452"/>
      <w:r>
        <w:rPr>
          <w:rFonts w:hint="eastAsia"/>
          <w:color w:val="auto"/>
          <w:highlight w:val="none"/>
        </w:rPr>
        <w:t xml:space="preserve">外包滤料 envelope of </w:t>
      </w:r>
      <w:bookmarkEnd w:id="121"/>
      <w:bookmarkEnd w:id="122"/>
      <w:bookmarkEnd w:id="123"/>
      <w:bookmarkEnd w:id="124"/>
      <w:bookmarkEnd w:id="125"/>
      <w:bookmarkEnd w:id="126"/>
      <w:r>
        <w:rPr>
          <w:rFonts w:hint="eastAsia"/>
          <w:color w:val="auto"/>
          <w:highlight w:val="none"/>
        </w:rPr>
        <w:t>suction pipe</w:t>
      </w:r>
      <w:bookmarkEnd w:id="127"/>
      <w:bookmarkEnd w:id="128"/>
      <w:bookmarkEnd w:id="129"/>
    </w:p>
    <w:p w14:paraId="4EDD89E1">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ascii="Times New Roman"/>
          <w:color w:val="auto"/>
          <w:szCs w:val="22"/>
          <w:highlight w:val="none"/>
        </w:rPr>
        <w:t>为改善吸水管周围水流条件，防止土颗粒进入或淤堵排水管而设置在排水管周围的排水防沙材料。</w:t>
      </w:r>
    </w:p>
    <w:p w14:paraId="26D2CB34">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color w:val="auto"/>
          <w:highlight w:val="none"/>
        </w:rPr>
      </w:pPr>
      <w:bookmarkStart w:id="130" w:name="_Toc18187"/>
      <w:bookmarkStart w:id="131" w:name="_Toc4744"/>
      <w:bookmarkStart w:id="132" w:name="_Toc520823453"/>
      <w:bookmarkStart w:id="133" w:name="_Toc24111"/>
      <w:bookmarkStart w:id="134" w:name="_Toc23018"/>
      <w:bookmarkStart w:id="135" w:name="_Toc299889751"/>
      <w:bookmarkStart w:id="136" w:name="_Toc11977"/>
      <w:bookmarkStart w:id="137" w:name="_Toc6160"/>
      <w:bookmarkStart w:id="138" w:name="_Toc522140481"/>
      <w:r>
        <w:rPr>
          <w:color w:val="auto"/>
          <w:highlight w:val="none"/>
        </w:rPr>
        <w:t xml:space="preserve">暗管自流排水系统 pipe drain system </w:t>
      </w:r>
      <w:r>
        <w:rPr>
          <w:rFonts w:hint="eastAsia"/>
          <w:color w:val="auto"/>
          <w:highlight w:val="none"/>
        </w:rPr>
        <w:t>by artesian</w:t>
      </w:r>
      <w:bookmarkEnd w:id="130"/>
      <w:bookmarkEnd w:id="131"/>
      <w:bookmarkEnd w:id="132"/>
      <w:bookmarkEnd w:id="133"/>
      <w:bookmarkEnd w:id="134"/>
      <w:bookmarkEnd w:id="135"/>
      <w:bookmarkEnd w:id="136"/>
      <w:bookmarkEnd w:id="137"/>
      <w:bookmarkEnd w:id="138"/>
    </w:p>
    <w:p w14:paraId="36248A3A">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ascii="Times New Roman"/>
          <w:color w:val="auto"/>
          <w:szCs w:val="22"/>
          <w:highlight w:val="none"/>
        </w:rPr>
        <w:t>田间吸水管直接</w:t>
      </w:r>
      <w:r>
        <w:rPr>
          <w:rFonts w:hint="eastAsia" w:ascii="Times New Roman"/>
          <w:color w:val="auto"/>
          <w:szCs w:val="22"/>
          <w:highlight w:val="none"/>
        </w:rPr>
        <w:t>或</w:t>
      </w:r>
      <w:r>
        <w:rPr>
          <w:rFonts w:ascii="Times New Roman"/>
          <w:color w:val="auto"/>
          <w:szCs w:val="22"/>
          <w:highlight w:val="none"/>
        </w:rPr>
        <w:t>经集水管输送并自流排入沟道</w:t>
      </w:r>
      <w:r>
        <w:rPr>
          <w:rFonts w:hint="eastAsia" w:ascii="Times New Roman"/>
          <w:color w:val="auto"/>
          <w:szCs w:val="22"/>
          <w:highlight w:val="none"/>
        </w:rPr>
        <w:t>、</w:t>
      </w:r>
      <w:r>
        <w:rPr>
          <w:rFonts w:ascii="Times New Roman"/>
          <w:color w:val="auto"/>
          <w:szCs w:val="22"/>
          <w:highlight w:val="none"/>
        </w:rPr>
        <w:t>湖</w:t>
      </w:r>
      <w:r>
        <w:rPr>
          <w:rFonts w:hint="eastAsia" w:ascii="Times New Roman"/>
          <w:color w:val="auto"/>
          <w:szCs w:val="22"/>
          <w:highlight w:val="none"/>
        </w:rPr>
        <w:t>泊</w:t>
      </w:r>
      <w:r>
        <w:rPr>
          <w:rFonts w:ascii="Times New Roman"/>
          <w:color w:val="auto"/>
          <w:szCs w:val="22"/>
          <w:highlight w:val="none"/>
        </w:rPr>
        <w:t>、沼泽或其他</w:t>
      </w:r>
      <w:r>
        <w:rPr>
          <w:rFonts w:hint="eastAsia" w:ascii="Times New Roman"/>
          <w:color w:val="auto"/>
          <w:szCs w:val="22"/>
          <w:highlight w:val="none"/>
        </w:rPr>
        <w:t>承泄区</w:t>
      </w:r>
      <w:r>
        <w:rPr>
          <w:rFonts w:ascii="Times New Roman"/>
          <w:color w:val="auto"/>
          <w:szCs w:val="22"/>
          <w:highlight w:val="none"/>
        </w:rPr>
        <w:t>的暗管排水系统。</w:t>
      </w:r>
    </w:p>
    <w:p w14:paraId="5698B41A">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color w:val="auto"/>
          <w:highlight w:val="none"/>
        </w:rPr>
      </w:pPr>
      <w:bookmarkStart w:id="139" w:name="_Toc299889752"/>
      <w:bookmarkStart w:id="140" w:name="_Toc14799"/>
      <w:bookmarkStart w:id="141" w:name="_Toc21754"/>
      <w:bookmarkStart w:id="142" w:name="_Toc17152"/>
      <w:bookmarkStart w:id="143" w:name="_Toc14261"/>
      <w:bookmarkStart w:id="144" w:name="_Toc520823454"/>
      <w:bookmarkStart w:id="145" w:name="_Toc10407"/>
      <w:bookmarkStart w:id="146" w:name="_Toc522140482"/>
      <w:bookmarkStart w:id="147" w:name="_Toc24084"/>
      <w:r>
        <w:rPr>
          <w:color w:val="auto"/>
          <w:highlight w:val="none"/>
        </w:rPr>
        <w:t>强排暗管排水</w:t>
      </w:r>
      <w:r>
        <w:rPr>
          <w:rFonts w:hint="eastAsia"/>
          <w:color w:val="auto"/>
          <w:highlight w:val="none"/>
        </w:rPr>
        <w:t>系统</w:t>
      </w:r>
      <w:r>
        <w:rPr>
          <w:color w:val="auto"/>
          <w:highlight w:val="none"/>
        </w:rPr>
        <w:t xml:space="preserve"> pipe drain system by draw water</w:t>
      </w:r>
      <w:bookmarkEnd w:id="139"/>
      <w:bookmarkEnd w:id="140"/>
      <w:bookmarkEnd w:id="141"/>
      <w:bookmarkEnd w:id="142"/>
      <w:bookmarkEnd w:id="143"/>
      <w:bookmarkEnd w:id="144"/>
      <w:bookmarkEnd w:id="145"/>
      <w:bookmarkEnd w:id="146"/>
      <w:bookmarkEnd w:id="147"/>
    </w:p>
    <w:p w14:paraId="2D675956">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ascii="Times New Roman"/>
          <w:color w:val="auto"/>
          <w:szCs w:val="22"/>
          <w:highlight w:val="none"/>
        </w:rPr>
        <w:t>经集水管引入集水井，并由水泵强排入沟</w:t>
      </w:r>
      <w:r>
        <w:rPr>
          <w:rFonts w:hint="eastAsia" w:ascii="Times New Roman"/>
          <w:color w:val="auto"/>
          <w:szCs w:val="22"/>
          <w:highlight w:val="none"/>
        </w:rPr>
        <w:t>道、</w:t>
      </w:r>
      <w:r>
        <w:rPr>
          <w:rFonts w:ascii="Times New Roman"/>
          <w:color w:val="auto"/>
          <w:szCs w:val="22"/>
          <w:highlight w:val="none"/>
        </w:rPr>
        <w:t>湖</w:t>
      </w:r>
      <w:r>
        <w:rPr>
          <w:rFonts w:hint="eastAsia" w:ascii="Times New Roman"/>
          <w:color w:val="auto"/>
          <w:szCs w:val="22"/>
          <w:highlight w:val="none"/>
        </w:rPr>
        <w:t>泊</w:t>
      </w:r>
      <w:r>
        <w:rPr>
          <w:rFonts w:ascii="Times New Roman"/>
          <w:color w:val="auto"/>
          <w:szCs w:val="22"/>
          <w:highlight w:val="none"/>
        </w:rPr>
        <w:t>、沼泽或其他</w:t>
      </w:r>
      <w:r>
        <w:rPr>
          <w:rFonts w:hint="eastAsia" w:ascii="Times New Roman"/>
          <w:color w:val="auto"/>
          <w:szCs w:val="22"/>
          <w:highlight w:val="none"/>
        </w:rPr>
        <w:t>承泄区</w:t>
      </w:r>
      <w:r>
        <w:rPr>
          <w:rFonts w:ascii="Times New Roman"/>
          <w:color w:val="auto"/>
          <w:szCs w:val="22"/>
          <w:highlight w:val="none"/>
        </w:rPr>
        <w:t>的暗管排水系统。</w:t>
      </w:r>
    </w:p>
    <w:p w14:paraId="233E9FF0">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color w:val="auto"/>
          <w:highlight w:val="none"/>
        </w:rPr>
      </w:pPr>
      <w:bookmarkStart w:id="148" w:name="_Toc522140483"/>
      <w:bookmarkStart w:id="149" w:name="_Toc299889753"/>
      <w:bookmarkStart w:id="150" w:name="_Toc520823455"/>
      <w:r>
        <w:rPr>
          <w:color w:val="auto"/>
          <w:highlight w:val="none"/>
        </w:rPr>
        <w:t>光伏</w:t>
      </w:r>
      <w:r>
        <w:rPr>
          <w:rFonts w:hint="eastAsia"/>
          <w:color w:val="auto"/>
          <w:highlight w:val="none"/>
        </w:rPr>
        <w:t>强排</w:t>
      </w:r>
      <w:r>
        <w:rPr>
          <w:color w:val="auto"/>
          <w:highlight w:val="none"/>
        </w:rPr>
        <w:t xml:space="preserve">泵站 </w:t>
      </w:r>
      <w:r>
        <w:rPr>
          <w:rFonts w:hint="eastAsia"/>
          <w:color w:val="auto"/>
          <w:highlight w:val="none"/>
        </w:rPr>
        <w:t xml:space="preserve">photovoltaic </w:t>
      </w:r>
      <w:r>
        <w:rPr>
          <w:color w:val="auto"/>
          <w:highlight w:val="none"/>
        </w:rPr>
        <w:t>pump</w:t>
      </w:r>
      <w:r>
        <w:rPr>
          <w:rFonts w:hint="eastAsia"/>
          <w:color w:val="auto"/>
          <w:highlight w:val="none"/>
        </w:rPr>
        <w:t>ing</w:t>
      </w:r>
      <w:r>
        <w:rPr>
          <w:color w:val="auto"/>
          <w:highlight w:val="none"/>
        </w:rPr>
        <w:t xml:space="preserve"> station</w:t>
      </w:r>
      <w:bookmarkEnd w:id="148"/>
      <w:bookmarkEnd w:id="149"/>
      <w:bookmarkEnd w:id="150"/>
    </w:p>
    <w:p w14:paraId="66E28598">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hint="eastAsia" w:ascii="Times New Roman"/>
          <w:color w:val="auto"/>
          <w:szCs w:val="22"/>
          <w:highlight w:val="none"/>
        </w:rPr>
        <w:t>由光伏发电系统、专用水泵、控制器等设备以及集水井、泵房等建筑物组成的强排泵站。</w:t>
      </w:r>
    </w:p>
    <w:p w14:paraId="7F60946A">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color w:val="auto"/>
          <w:highlight w:val="none"/>
        </w:rPr>
      </w:pPr>
      <w:r>
        <w:rPr>
          <w:rFonts w:hint="eastAsia"/>
          <w:color w:val="auto"/>
          <w:highlight w:val="none"/>
        </w:rPr>
        <w:t>土壤含盐量 soil salinity</w:t>
      </w:r>
    </w:p>
    <w:p w14:paraId="473C1662">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highlight w:val="none"/>
        </w:rPr>
      </w:pPr>
      <w:r>
        <w:rPr>
          <w:rFonts w:hint="eastAsia" w:ascii="Times New Roman"/>
          <w:color w:val="auto"/>
          <w:highlight w:val="none"/>
        </w:rPr>
        <w:t>土壤中可溶盐的总量，以每千克干土中含有可溶盐的克数表示。</w:t>
      </w:r>
    </w:p>
    <w:p w14:paraId="67EABF56">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color w:val="auto"/>
          <w:highlight w:val="none"/>
        </w:rPr>
      </w:pPr>
      <w:r>
        <w:rPr>
          <w:rFonts w:hint="eastAsia"/>
          <w:color w:val="auto"/>
          <w:highlight w:val="none"/>
        </w:rPr>
        <w:t>盐碱地 saline land</w:t>
      </w:r>
    </w:p>
    <w:p w14:paraId="5DEABB70">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highlight w:val="none"/>
        </w:rPr>
      </w:pPr>
      <w:r>
        <w:rPr>
          <w:rFonts w:ascii="Times New Roman"/>
          <w:color w:val="auto"/>
          <w:highlight w:val="none"/>
        </w:rPr>
        <w:t>土壤中含有较多的可溶性盐分，不利于作物生长的土地。</w:t>
      </w:r>
    </w:p>
    <w:p w14:paraId="63BA76F1">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color w:val="auto"/>
          <w:highlight w:val="none"/>
        </w:rPr>
      </w:pPr>
      <w:r>
        <w:rPr>
          <w:color w:val="auto"/>
          <w:highlight w:val="none"/>
        </w:rPr>
        <w:t>地下水临界深度 critical depth of groundwater</w:t>
      </w:r>
      <w:bookmarkEnd w:id="61"/>
      <w:bookmarkEnd w:id="62"/>
      <w:bookmarkEnd w:id="63"/>
      <w:bookmarkEnd w:id="64"/>
      <w:bookmarkEnd w:id="65"/>
      <w:bookmarkEnd w:id="66"/>
      <w:bookmarkEnd w:id="67"/>
      <w:bookmarkEnd w:id="68"/>
      <w:bookmarkEnd w:id="69"/>
    </w:p>
    <w:p w14:paraId="53A0E3B5">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szCs w:val="22"/>
          <w:highlight w:val="none"/>
        </w:rPr>
      </w:pPr>
      <w:r>
        <w:rPr>
          <w:rFonts w:ascii="Times New Roman"/>
          <w:color w:val="auto"/>
          <w:szCs w:val="22"/>
          <w:highlight w:val="none"/>
        </w:rPr>
        <w:t>防止土壤盐碱化所要求的最小地下水埋深。</w:t>
      </w:r>
    </w:p>
    <w:p w14:paraId="56109B48">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hAnsi="Times New Roman" w:cs="Times New Roman"/>
          <w:color w:val="auto"/>
          <w:highlight w:val="none"/>
          <w:lang w:val="en-US" w:eastAsia="zh-CN"/>
        </w:rPr>
      </w:pPr>
      <w:r>
        <w:rPr>
          <w:rFonts w:hint="eastAsia" w:hAnsi="Times New Roman" w:cs="Times New Roman"/>
          <w:color w:val="auto"/>
          <w:highlight w:val="none"/>
          <w:lang w:val="en-US" w:eastAsia="zh-CN"/>
        </w:rPr>
        <w:t>土壤</w:t>
      </w:r>
      <w:r>
        <w:rPr>
          <w:rFonts w:hint="eastAsia"/>
          <w:color w:val="auto"/>
          <w:highlight w:val="none"/>
          <w:lang w:val="en-US" w:eastAsia="zh-CN"/>
        </w:rPr>
        <w:t>渗透</w:t>
      </w:r>
      <w:r>
        <w:rPr>
          <w:rFonts w:hint="eastAsia" w:hAnsi="Times New Roman" w:cs="Times New Roman"/>
          <w:color w:val="auto"/>
          <w:highlight w:val="none"/>
          <w:lang w:val="en-US" w:eastAsia="zh-CN"/>
        </w:rPr>
        <w:t>系数</w:t>
      </w:r>
      <w:r>
        <w:rPr>
          <w:rFonts w:hint="eastAsia" w:cs="Times New Roman"/>
          <w:color w:val="auto"/>
          <w:highlight w:val="none"/>
          <w:lang w:val="en-US" w:eastAsia="zh-CN"/>
        </w:rPr>
        <w:t xml:space="preserve"> soil permeability coefficent</w:t>
      </w:r>
    </w:p>
    <w:p w14:paraId="0D559CCB">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hint="eastAsia"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rPr>
        <w:t>单位水力梯度下，单位时间通过土壤单位过水断面的流量。</w:t>
      </w:r>
    </w:p>
    <w:p w14:paraId="1871DC54">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default" w:hAnsi="Times New Roman" w:cs="Times New Roman"/>
          <w:color w:val="auto"/>
          <w:highlight w:val="none"/>
          <w:lang w:val="en-US" w:eastAsia="zh-CN"/>
        </w:rPr>
      </w:pPr>
      <w:r>
        <w:rPr>
          <w:rFonts w:hint="eastAsia" w:hAnsi="Times New Roman" w:cs="Times New Roman"/>
          <w:color w:val="auto"/>
          <w:highlight w:val="none"/>
          <w:lang w:val="en-US" w:eastAsia="zh-CN"/>
        </w:rPr>
        <w:t>田间持</w:t>
      </w:r>
      <w:r>
        <w:rPr>
          <w:rFonts w:hint="eastAsia"/>
          <w:color w:val="auto"/>
          <w:highlight w:val="none"/>
          <w:lang w:val="en-US" w:eastAsia="zh-CN"/>
        </w:rPr>
        <w:t>水量</w:t>
      </w:r>
      <w:r>
        <w:rPr>
          <w:rFonts w:hint="eastAsia" w:cs="Times New Roman"/>
          <w:color w:val="auto"/>
          <w:highlight w:val="none"/>
          <w:lang w:val="en-US" w:eastAsia="zh-CN"/>
        </w:rPr>
        <w:t xml:space="preserve"> field moisture capacity</w:t>
      </w:r>
    </w:p>
    <w:p w14:paraId="5AF3078C">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hint="default" w:ascii="Times New Roman" w:hAnsi="Times New Roman" w:eastAsia="宋体" w:cs="Times New Roman"/>
          <w:color w:val="auto"/>
          <w:highlight w:val="none"/>
          <w:lang w:val="en-US" w:eastAsia="zh-CN"/>
        </w:rPr>
      </w:pPr>
      <w:r>
        <w:rPr>
          <w:rFonts w:ascii="Times New Roman"/>
          <w:color w:val="auto"/>
          <w:highlight w:val="none"/>
        </w:rPr>
        <w:t>田间水分饱和后，在防止蒸发条件下</w:t>
      </w:r>
      <w:r>
        <w:rPr>
          <w:rFonts w:hint="eastAsia" w:ascii="Times New Roman"/>
          <w:color w:val="auto"/>
          <w:highlight w:val="none"/>
        </w:rPr>
        <w:t>2~3天内自由水排除至可忽略不计时的含水量。</w:t>
      </w:r>
    </w:p>
    <w:p w14:paraId="5A39F0A5">
      <w:pPr>
        <w:pStyle w:val="90"/>
        <w:keepNext w:val="0"/>
        <w:keepLines w:val="0"/>
        <w:pageBreakBefore w:val="0"/>
        <w:widowControl/>
        <w:kinsoku/>
        <w:wordWrap/>
        <w:overflowPunct/>
        <w:topLinePunct w:val="0"/>
        <w:autoSpaceDE/>
        <w:autoSpaceDN/>
        <w:bidi w:val="0"/>
        <w:adjustRightInd/>
        <w:snapToGrid/>
        <w:spacing w:before="313" w:beforeLines="100" w:after="313" w:afterLines="100"/>
        <w:textAlignment w:val="auto"/>
        <w:rPr>
          <w:rFonts w:hint="eastAsia"/>
          <w:color w:val="auto"/>
          <w:highlight w:val="none"/>
        </w:rPr>
      </w:pPr>
      <w:bookmarkStart w:id="151" w:name="_Toc520823458"/>
      <w:bookmarkStart w:id="152" w:name="_Toc11901"/>
      <w:bookmarkStart w:id="153" w:name="_Toc13629"/>
      <w:bookmarkStart w:id="154" w:name="_Toc3799"/>
      <w:bookmarkStart w:id="155" w:name="_Toc520709289"/>
      <w:bookmarkStart w:id="156" w:name="_Toc522140486"/>
      <w:bookmarkStart w:id="157" w:name="_Toc7236"/>
      <w:bookmarkStart w:id="158" w:name="_Toc4904"/>
      <w:bookmarkStart w:id="159" w:name="_Toc299889756"/>
      <w:bookmarkStart w:id="160" w:name="_Toc13151"/>
      <w:bookmarkStart w:id="161" w:name="_Toc14274"/>
      <w:r>
        <w:rPr>
          <w:rFonts w:hint="eastAsia"/>
          <w:color w:val="auto"/>
          <w:highlight w:val="none"/>
        </w:rPr>
        <w:t>土壤调查与基础数据收集</w:t>
      </w:r>
      <w:bookmarkEnd w:id="151"/>
      <w:bookmarkEnd w:id="152"/>
      <w:bookmarkEnd w:id="153"/>
      <w:bookmarkEnd w:id="154"/>
      <w:bookmarkEnd w:id="155"/>
      <w:bookmarkEnd w:id="156"/>
      <w:bookmarkEnd w:id="157"/>
      <w:bookmarkEnd w:id="158"/>
      <w:bookmarkEnd w:id="159"/>
      <w:bookmarkEnd w:id="160"/>
      <w:bookmarkEnd w:id="161"/>
    </w:p>
    <w:p w14:paraId="3A9999BF">
      <w:pPr>
        <w:pStyle w:val="71"/>
        <w:keepNext w:val="0"/>
        <w:keepLines w:val="0"/>
        <w:pageBreakBefore w:val="0"/>
        <w:widowControl/>
        <w:kinsoku/>
        <w:wordWrap/>
        <w:overflowPunct/>
        <w:topLinePunct w:val="0"/>
        <w:autoSpaceDE/>
        <w:autoSpaceDN/>
        <w:bidi w:val="0"/>
        <w:adjustRightInd w:val="0"/>
        <w:snapToGrid w:val="0"/>
        <w:spacing w:before="157" w:beforeLines="50" w:after="157" w:afterLines="50" w:line="240" w:lineRule="auto"/>
        <w:textAlignment w:val="auto"/>
        <w:rPr>
          <w:rFonts w:hint="eastAsia"/>
          <w:color w:val="auto"/>
          <w:highlight w:val="none"/>
        </w:rPr>
      </w:pPr>
      <w:bookmarkStart w:id="162" w:name="_Toc17642"/>
      <w:bookmarkStart w:id="163" w:name="_Toc8188"/>
      <w:bookmarkStart w:id="164" w:name="_Toc299889757"/>
      <w:bookmarkStart w:id="165" w:name="_Toc31034"/>
      <w:bookmarkStart w:id="166" w:name="_Toc10737"/>
      <w:bookmarkStart w:id="167" w:name="_Toc2392"/>
      <w:bookmarkStart w:id="168" w:name="_Toc522140487"/>
      <w:bookmarkStart w:id="169" w:name="_Toc520709290"/>
      <w:bookmarkStart w:id="170" w:name="_Toc28860"/>
      <w:bookmarkStart w:id="171" w:name="_Toc520823459"/>
      <w:r>
        <w:rPr>
          <w:rFonts w:hint="eastAsia"/>
          <w:color w:val="auto"/>
          <w:highlight w:val="none"/>
        </w:rPr>
        <w:t>一般规定</w:t>
      </w:r>
      <w:bookmarkEnd w:id="162"/>
      <w:bookmarkEnd w:id="163"/>
      <w:bookmarkEnd w:id="164"/>
      <w:bookmarkEnd w:id="165"/>
      <w:bookmarkEnd w:id="166"/>
      <w:bookmarkEnd w:id="167"/>
      <w:bookmarkEnd w:id="168"/>
      <w:bookmarkEnd w:id="169"/>
      <w:bookmarkEnd w:id="170"/>
      <w:bookmarkEnd w:id="171"/>
    </w:p>
    <w:p w14:paraId="3EA4C86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cs="宋体"/>
          <w:color w:val="auto"/>
          <w:highlight w:val="none"/>
        </w:rPr>
      </w:pPr>
      <w:r>
        <w:rPr>
          <w:rFonts w:hint="eastAsia" w:ascii="黑体" w:hAnsi="黑体" w:eastAsia="黑体" w:cs="黑体"/>
          <w:color w:val="auto"/>
          <w:highlight w:val="none"/>
        </w:rPr>
        <w:t>4.1.1 土壤调查与分析</w:t>
      </w:r>
    </w:p>
    <w:p w14:paraId="6C57D1B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土壤调查与基础数据收集包括地形</w:t>
      </w:r>
      <w:r>
        <w:rPr>
          <w:rFonts w:hint="eastAsia"/>
          <w:color w:val="auto"/>
          <w:highlight w:val="none"/>
        </w:rPr>
        <w:t>地貌</w:t>
      </w:r>
      <w:r>
        <w:rPr>
          <w:color w:val="auto"/>
          <w:highlight w:val="none"/>
        </w:rPr>
        <w:t>、</w:t>
      </w:r>
      <w:r>
        <w:rPr>
          <w:rFonts w:hint="eastAsia"/>
          <w:color w:val="auto"/>
          <w:highlight w:val="none"/>
        </w:rPr>
        <w:t>地层分布、</w:t>
      </w:r>
      <w:r>
        <w:rPr>
          <w:color w:val="auto"/>
          <w:highlight w:val="none"/>
        </w:rPr>
        <w:t>水文地质条件、灌溉水源及水质、土壤环境、土壤质地、土壤水力性能、土壤盐</w:t>
      </w:r>
      <w:r>
        <w:rPr>
          <w:rFonts w:hint="eastAsia"/>
          <w:color w:val="auto"/>
          <w:highlight w:val="none"/>
        </w:rPr>
        <w:t>碱</w:t>
      </w:r>
      <w:r>
        <w:rPr>
          <w:color w:val="auto"/>
          <w:highlight w:val="none"/>
        </w:rPr>
        <w:t>程度</w:t>
      </w:r>
      <w:r>
        <w:rPr>
          <w:rFonts w:hint="eastAsia"/>
          <w:color w:val="auto"/>
          <w:highlight w:val="none"/>
        </w:rPr>
        <w:t>以及耕地与基础设施、社</w:t>
      </w:r>
      <w:r>
        <w:rPr>
          <w:color w:val="auto"/>
          <w:highlight w:val="none"/>
        </w:rPr>
        <w:t>会</w:t>
      </w:r>
      <w:r>
        <w:rPr>
          <w:rFonts w:hint="eastAsia"/>
          <w:color w:val="auto"/>
          <w:highlight w:val="none"/>
        </w:rPr>
        <w:t>与</w:t>
      </w:r>
      <w:r>
        <w:rPr>
          <w:color w:val="auto"/>
          <w:highlight w:val="none"/>
        </w:rPr>
        <w:t>经济环境条件等</w:t>
      </w:r>
      <w:r>
        <w:rPr>
          <w:rFonts w:hint="eastAsia"/>
          <w:color w:val="auto"/>
          <w:highlight w:val="none"/>
        </w:rPr>
        <w:t>的</w:t>
      </w:r>
      <w:r>
        <w:rPr>
          <w:rFonts w:ascii="Times New Roman"/>
          <w:color w:val="auto"/>
          <w:szCs w:val="22"/>
          <w:highlight w:val="none"/>
        </w:rPr>
        <w:t>采集</w:t>
      </w:r>
      <w:r>
        <w:rPr>
          <w:rFonts w:hint="eastAsia" w:ascii="Times New Roman"/>
          <w:color w:val="auto"/>
          <w:szCs w:val="22"/>
          <w:highlight w:val="none"/>
        </w:rPr>
        <w:t>、调查</w:t>
      </w:r>
      <w:r>
        <w:rPr>
          <w:rFonts w:ascii="Times New Roman"/>
          <w:color w:val="auto"/>
          <w:szCs w:val="22"/>
          <w:highlight w:val="none"/>
        </w:rPr>
        <w:t>与分析。</w:t>
      </w:r>
    </w:p>
    <w:p w14:paraId="5DEBF5C1">
      <w:pPr>
        <w:pStyle w:val="117"/>
        <w:keepNext w:val="0"/>
        <w:keepLines w:val="0"/>
        <w:pageBreakBefore w:val="0"/>
        <w:widowControl/>
        <w:numPr>
          <w:ilvl w:val="2"/>
          <w:numId w:val="0"/>
        </w:numPr>
        <w:kinsoku/>
        <w:wordWrap/>
        <w:overflowPunct/>
        <w:topLinePunct w:val="0"/>
        <w:autoSpaceDE/>
        <w:autoSpaceDN/>
        <w:bidi w:val="0"/>
        <w:adjustRightInd w:val="0"/>
        <w:snapToGrid w:val="0"/>
        <w:spacing w:line="360" w:lineRule="exact"/>
        <w:textAlignment w:val="auto"/>
        <w:rPr>
          <w:color w:val="auto"/>
          <w:highlight w:val="none"/>
        </w:rPr>
      </w:pPr>
      <w:r>
        <w:rPr>
          <w:rFonts w:hint="eastAsia" w:ascii="黑体" w:hAnsi="黑体" w:eastAsia="黑体" w:cs="黑体"/>
          <w:color w:val="auto"/>
          <w:highlight w:val="none"/>
        </w:rPr>
        <w:t>4.1.2 农田水利工程专项调查</w:t>
      </w:r>
    </w:p>
    <w:p w14:paraId="43152A3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收集并了解项目区有关农田灌溉、排水系统的近期与远景规划方案</w:t>
      </w:r>
      <w:r>
        <w:rPr>
          <w:rFonts w:hint="eastAsia"/>
          <w:color w:val="auto"/>
          <w:highlight w:val="none"/>
          <w:lang w:eastAsia="zh-CN"/>
        </w:rPr>
        <w:t>。</w:t>
      </w:r>
      <w:r>
        <w:rPr>
          <w:rFonts w:hint="eastAsia"/>
          <w:color w:val="auto"/>
          <w:highlight w:val="none"/>
        </w:rPr>
        <w:t>重点对项目区农田水利配套工程</w:t>
      </w:r>
      <w:r>
        <w:rPr>
          <w:color w:val="auto"/>
          <w:highlight w:val="none"/>
        </w:rPr>
        <w:t>现状进行</w:t>
      </w:r>
      <w:r>
        <w:rPr>
          <w:rFonts w:hint="eastAsia"/>
          <w:color w:val="auto"/>
          <w:highlight w:val="none"/>
        </w:rPr>
        <w:t>专项</w:t>
      </w:r>
      <w:r>
        <w:rPr>
          <w:color w:val="auto"/>
          <w:highlight w:val="none"/>
        </w:rPr>
        <w:t>调查</w:t>
      </w:r>
      <w:r>
        <w:rPr>
          <w:rFonts w:hint="eastAsia"/>
          <w:color w:val="auto"/>
          <w:highlight w:val="none"/>
        </w:rPr>
        <w:t>，包括灌溉水源、各级灌溉与排水建筑物分布、特性及其运行状况，尤其要详细掌握农田暗管排水入沟道或其承泄区的位置、分布范围、级别及其水位随季节动态变化情况。</w:t>
      </w:r>
    </w:p>
    <w:p w14:paraId="2B69026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ascii="黑体" w:hAnsi="黑体" w:eastAsia="黑体" w:cs="黑体"/>
          <w:color w:val="auto"/>
          <w:highlight w:val="none"/>
          <w:lang w:eastAsia="zh-CN"/>
        </w:rPr>
      </w:pPr>
      <w:r>
        <w:rPr>
          <w:rFonts w:hint="eastAsia" w:ascii="黑体" w:hAnsi="黑体" w:eastAsia="黑体" w:cs="黑体"/>
          <w:color w:val="auto"/>
          <w:highlight w:val="none"/>
        </w:rPr>
        <w:t>4.1.3 隐蔽工程调查与协</w:t>
      </w:r>
      <w:r>
        <w:rPr>
          <w:rFonts w:hint="eastAsia" w:ascii="黑体" w:hAnsi="黑体" w:eastAsia="黑体" w:cs="黑体"/>
          <w:color w:val="auto"/>
          <w:highlight w:val="none"/>
          <w:lang w:val="en-US" w:eastAsia="zh-CN"/>
        </w:rPr>
        <w:t>调</w:t>
      </w:r>
    </w:p>
    <w:p w14:paraId="7D9D4366">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调查项目区内其他工程，如道路、交通、生态敏感区、电线光纤、油气管线等地物或地下工程的特征与分布状况，并在调查图表中作相应标记。</w:t>
      </w:r>
    </w:p>
    <w:p w14:paraId="1F76023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涉及重大工程问题必须与相关管理部门沟通协商解决，确保各方协调一致，避免因规划冲突或施工干扰对现有设施造成损害。必要时，可通过多方论证制定专项解决方案，确保工程顺利推进的同时保障相关</w:t>
      </w:r>
      <w:r>
        <w:rPr>
          <w:rFonts w:hint="eastAsia"/>
          <w:color w:val="auto"/>
          <w:highlight w:val="none"/>
          <w:lang w:val="en-US" w:eastAsia="zh-CN"/>
        </w:rPr>
        <w:t>既有</w:t>
      </w:r>
      <w:r>
        <w:rPr>
          <w:rFonts w:hint="eastAsia"/>
          <w:color w:val="auto"/>
          <w:highlight w:val="none"/>
        </w:rPr>
        <w:t>设施的安全和完整性。</w:t>
      </w:r>
    </w:p>
    <w:p w14:paraId="3E2EA6A5">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highlight w:val="none"/>
        </w:rPr>
        <w:t>4.1.4 成果文件内容</w:t>
      </w:r>
    </w:p>
    <w:p w14:paraId="1117B4F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暗管排水工程项目区土壤调查与基础数据收集成果文件主要包括：（1）调查报告书；（2）项目区地形、地下水等水位线、土地利用及水利设施现状、土壤调查布点、土壤剖面图和项目区土壤盐分分布附图；（3）项目区土壤调查及水利设施水力要素基本数据附表等。</w:t>
      </w:r>
    </w:p>
    <w:p w14:paraId="4B0A5C8A">
      <w:pPr>
        <w:pStyle w:val="71"/>
        <w:keepNext w:val="0"/>
        <w:keepLines w:val="0"/>
        <w:pageBreakBefore w:val="0"/>
        <w:widowControl/>
        <w:kinsoku/>
        <w:wordWrap/>
        <w:overflowPunct/>
        <w:topLinePunct w:val="0"/>
        <w:autoSpaceDE/>
        <w:autoSpaceDN/>
        <w:bidi w:val="0"/>
        <w:adjustRightInd/>
        <w:snapToGrid/>
        <w:textAlignment w:val="auto"/>
        <w:rPr>
          <w:rFonts w:hint="eastAsia"/>
          <w:color w:val="auto"/>
          <w:highlight w:val="none"/>
        </w:rPr>
      </w:pPr>
      <w:bookmarkStart w:id="172" w:name="_Toc556"/>
      <w:bookmarkStart w:id="173" w:name="_Toc299889758"/>
      <w:bookmarkStart w:id="174" w:name="_Toc5384"/>
      <w:bookmarkStart w:id="175" w:name="_Toc18799"/>
      <w:bookmarkStart w:id="176" w:name="_Toc26277"/>
      <w:bookmarkStart w:id="177" w:name="_Toc6501"/>
      <w:bookmarkStart w:id="178" w:name="_Toc20875"/>
      <w:bookmarkStart w:id="179" w:name="_Toc522140488"/>
      <w:bookmarkStart w:id="180" w:name="_Toc520823460"/>
      <w:bookmarkStart w:id="181" w:name="_Toc520709291"/>
      <w:r>
        <w:rPr>
          <w:rFonts w:hint="eastAsia"/>
          <w:color w:val="auto"/>
          <w:highlight w:val="none"/>
        </w:rPr>
        <w:t>地形地貌与水文地质测绘</w:t>
      </w:r>
      <w:bookmarkEnd w:id="172"/>
      <w:bookmarkEnd w:id="173"/>
      <w:bookmarkEnd w:id="174"/>
      <w:bookmarkEnd w:id="175"/>
      <w:bookmarkEnd w:id="176"/>
      <w:bookmarkEnd w:id="177"/>
      <w:bookmarkEnd w:id="178"/>
      <w:bookmarkEnd w:id="179"/>
      <w:bookmarkEnd w:id="180"/>
      <w:bookmarkEnd w:id="181"/>
    </w:p>
    <w:p w14:paraId="1E53E6F5">
      <w:pPr>
        <w:pStyle w:val="117"/>
        <w:numPr>
          <w:ilvl w:val="2"/>
          <w:numId w:val="0"/>
        </w:numPr>
        <w:rPr>
          <w:color w:val="auto"/>
          <w:highlight w:val="none"/>
        </w:rPr>
      </w:pPr>
      <w:r>
        <w:rPr>
          <w:rFonts w:hint="eastAsia" w:ascii="黑体" w:hAnsi="黑体" w:eastAsia="黑体" w:cs="黑体"/>
          <w:color w:val="auto"/>
          <w:highlight w:val="none"/>
        </w:rPr>
        <w:t>4.2.1 地质测绘</w:t>
      </w:r>
    </w:p>
    <w:p w14:paraId="2CFF940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按照GB50026的要求，结合宁夏不同灌区的区实际情况，进行项目区地形地貌与水文地质测绘工作。初勘阶段可采用1/50000地形图或遥感影像图（分辨率不低于5</w:t>
      </w:r>
      <w:r>
        <w:rPr>
          <w:rFonts w:hint="eastAsia"/>
          <w:color w:val="auto"/>
          <w:highlight w:val="none"/>
          <w:lang w:val="en-US" w:eastAsia="zh-CN"/>
        </w:rPr>
        <w:t xml:space="preserve"> </w:t>
      </w:r>
      <w:r>
        <w:rPr>
          <w:rFonts w:hint="eastAsia"/>
          <w:color w:val="auto"/>
          <w:highlight w:val="none"/>
        </w:rPr>
        <w:t>m），对区域地形地貌特征进行初步分析，为详勘阶段提供基础依据。</w:t>
      </w:r>
    </w:p>
    <w:p w14:paraId="3E592890">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详勘阶段可选用1/2000-1/5000地形图、实测大比例尺地形图、高分辨率遥感影像图（分辨率优于1</w:t>
      </w:r>
      <w:r>
        <w:rPr>
          <w:rFonts w:hint="eastAsia"/>
          <w:color w:val="auto"/>
          <w:highlight w:val="none"/>
          <w:lang w:val="en-US" w:eastAsia="zh-CN"/>
        </w:rPr>
        <w:t xml:space="preserve"> </w:t>
      </w:r>
      <w:r>
        <w:rPr>
          <w:rFonts w:hint="eastAsia"/>
          <w:color w:val="auto"/>
          <w:highlight w:val="none"/>
        </w:rPr>
        <w:t>m），并对暗管吸水管线、集水管线及暗管排水入沟的明沟纵横剖面进行实测。所有成果应准确标注，完整归档。</w:t>
      </w:r>
    </w:p>
    <w:p w14:paraId="33E2D7CE">
      <w:pPr>
        <w:pStyle w:val="117"/>
        <w:keepNext w:val="0"/>
        <w:keepLines w:val="0"/>
        <w:pageBreakBefore w:val="0"/>
        <w:widowControl/>
        <w:numPr>
          <w:ilvl w:val="2"/>
          <w:numId w:val="0"/>
        </w:numPr>
        <w:kinsoku/>
        <w:wordWrap/>
        <w:overflowPunct/>
        <w:topLinePunct w:val="0"/>
        <w:autoSpaceDE/>
        <w:autoSpaceDN/>
        <w:bidi w:val="0"/>
        <w:adjustRightInd w:val="0"/>
        <w:snapToGrid w:val="0"/>
        <w:spacing w:line="360" w:lineRule="exact"/>
        <w:textAlignment w:val="auto"/>
        <w:rPr>
          <w:rFonts w:hint="eastAsia" w:eastAsia="黑体"/>
          <w:color w:val="auto"/>
          <w:highlight w:val="none"/>
        </w:rPr>
      </w:pPr>
      <w:r>
        <w:rPr>
          <w:rFonts w:hint="eastAsia" w:ascii="黑体" w:hAnsi="黑体" w:eastAsia="黑体" w:cs="黑体"/>
          <w:color w:val="auto"/>
          <w:highlight w:val="none"/>
        </w:rPr>
        <w:t>4.2.2 典型地层剖面绘制</w:t>
      </w:r>
    </w:p>
    <w:p w14:paraId="7867AC9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lang w:val="en-US" w:eastAsia="zh-CN"/>
        </w:rPr>
        <w:t>典型</w:t>
      </w:r>
      <w:r>
        <w:rPr>
          <w:rFonts w:hint="eastAsia"/>
          <w:color w:val="auto"/>
          <w:highlight w:val="none"/>
        </w:rPr>
        <w:t>地层剖面图中应包括土壤包气带、含水层与不透水层划分及其具体性状和分布范围（含水层和隔水层的埋深、厚度等）。可以根据已有的宁夏不同灌区典型地层剖面图，补充完善拟建暗管排水工程项目区的地层勘测资料。</w:t>
      </w:r>
    </w:p>
    <w:p w14:paraId="1F0F9CF6">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4.2.3 水文地质测绘</w:t>
      </w:r>
    </w:p>
    <w:p w14:paraId="2AD6494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ascii="Times New Roman"/>
          <w:color w:val="auto"/>
          <w:szCs w:val="22"/>
          <w:highlight w:val="none"/>
          <w:lang w:val="en-GB"/>
        </w:rPr>
      </w:pPr>
      <w:r>
        <w:rPr>
          <w:rFonts w:hint="eastAsia"/>
          <w:color w:val="auto"/>
          <w:highlight w:val="none"/>
        </w:rPr>
        <w:t>项目区水文地质测绘应包括：（1）</w:t>
      </w:r>
      <w:r>
        <w:rPr>
          <w:color w:val="auto"/>
          <w:highlight w:val="none"/>
          <w:lang w:val="en-GB"/>
        </w:rPr>
        <w:t>地下水埋深、地下水位等值线图</w:t>
      </w:r>
      <w:r>
        <w:rPr>
          <w:rFonts w:hint="eastAsia"/>
          <w:color w:val="auto"/>
          <w:highlight w:val="none"/>
          <w:lang w:val="en-GB"/>
        </w:rPr>
        <w:t>，</w:t>
      </w:r>
      <w:r>
        <w:rPr>
          <w:color w:val="auto"/>
          <w:highlight w:val="none"/>
          <w:lang w:val="en-GB"/>
        </w:rPr>
        <w:t>宜采用地理信息技术完成埋深、水位等值线的内插，并生成地面坡度、坡向与地下水流向、坡度等图件；（</w:t>
      </w:r>
      <w:r>
        <w:rPr>
          <w:rFonts w:hint="eastAsia"/>
          <w:color w:val="auto"/>
          <w:highlight w:val="none"/>
          <w:lang w:val="en-GB"/>
        </w:rPr>
        <w:t>2）</w:t>
      </w:r>
      <w:r>
        <w:rPr>
          <w:rFonts w:ascii="Times New Roman"/>
          <w:color w:val="auto"/>
          <w:szCs w:val="22"/>
          <w:highlight w:val="none"/>
          <w:lang w:val="en-GB"/>
        </w:rPr>
        <w:t>土壤盐化界线；（</w:t>
      </w:r>
      <w:r>
        <w:rPr>
          <w:rFonts w:hint="eastAsia" w:ascii="Times New Roman"/>
          <w:color w:val="auto"/>
          <w:szCs w:val="22"/>
          <w:highlight w:val="none"/>
          <w:lang w:val="en-GB"/>
        </w:rPr>
        <w:t>3）</w:t>
      </w:r>
      <w:r>
        <w:rPr>
          <w:rFonts w:ascii="Times New Roman"/>
          <w:color w:val="auto"/>
          <w:szCs w:val="22"/>
          <w:highlight w:val="none"/>
          <w:lang w:val="en-GB"/>
        </w:rPr>
        <w:t>土壤渗透系数K值</w:t>
      </w:r>
      <w:r>
        <w:rPr>
          <w:rFonts w:ascii="Times New Roman"/>
          <w:color w:val="auto"/>
          <w:szCs w:val="22"/>
          <w:highlight w:val="none"/>
        </w:rPr>
        <w:t>每公顷不少于</w:t>
      </w:r>
      <w:r>
        <w:rPr>
          <w:rFonts w:hint="eastAsia" w:ascii="Times New Roman"/>
          <w:color w:val="auto"/>
          <w:szCs w:val="22"/>
          <w:highlight w:val="none"/>
        </w:rPr>
        <w:t>1</w:t>
      </w:r>
      <w:r>
        <w:rPr>
          <w:rFonts w:ascii="Times New Roman"/>
          <w:color w:val="auto"/>
          <w:szCs w:val="22"/>
          <w:highlight w:val="none"/>
        </w:rPr>
        <w:t>个测点</w:t>
      </w:r>
      <w:r>
        <w:rPr>
          <w:rFonts w:hint="eastAsia" w:ascii="Times New Roman"/>
          <w:color w:val="auto"/>
          <w:szCs w:val="22"/>
          <w:highlight w:val="none"/>
        </w:rPr>
        <w:t>，</w:t>
      </w:r>
      <w:r>
        <w:rPr>
          <w:rFonts w:ascii="Times New Roman"/>
          <w:color w:val="auto"/>
          <w:szCs w:val="22"/>
          <w:highlight w:val="none"/>
          <w:lang w:val="en-GB"/>
        </w:rPr>
        <w:t>地下水埋深</w:t>
      </w:r>
      <w:r>
        <w:rPr>
          <w:rFonts w:hint="eastAsia" w:ascii="Times New Roman"/>
          <w:color w:val="auto"/>
          <w:szCs w:val="22"/>
          <w:highlight w:val="none"/>
        </w:rPr>
        <w:t>值</w:t>
      </w:r>
      <w:r>
        <w:rPr>
          <w:rFonts w:ascii="Times New Roman"/>
          <w:color w:val="auto"/>
          <w:szCs w:val="22"/>
          <w:highlight w:val="none"/>
        </w:rPr>
        <w:t>每公顷不少于</w:t>
      </w:r>
      <w:r>
        <w:rPr>
          <w:rFonts w:hint="eastAsia" w:ascii="Times New Roman"/>
          <w:color w:val="auto"/>
          <w:szCs w:val="22"/>
          <w:highlight w:val="none"/>
        </w:rPr>
        <w:t>2</w:t>
      </w:r>
      <w:r>
        <w:rPr>
          <w:rFonts w:ascii="Times New Roman"/>
          <w:color w:val="auto"/>
          <w:szCs w:val="22"/>
          <w:highlight w:val="none"/>
        </w:rPr>
        <w:t>个测点</w:t>
      </w:r>
      <w:r>
        <w:rPr>
          <w:rFonts w:ascii="Times New Roman"/>
          <w:color w:val="auto"/>
          <w:szCs w:val="22"/>
          <w:highlight w:val="none"/>
          <w:lang w:val="en-GB"/>
        </w:rPr>
        <w:t>。</w:t>
      </w:r>
    </w:p>
    <w:p w14:paraId="32CF67F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cs="宋体"/>
          <w:color w:val="auto"/>
          <w:szCs w:val="22"/>
          <w:highlight w:val="none"/>
        </w:rPr>
      </w:pPr>
      <w:r>
        <w:rPr>
          <w:rFonts w:hint="eastAsia" w:ascii="黑体" w:hAnsi="黑体" w:eastAsia="黑体" w:cs="黑体"/>
          <w:color w:val="auto"/>
          <w:highlight w:val="none"/>
        </w:rPr>
        <w:t>4.2.4 排水</w:t>
      </w:r>
      <w:r>
        <w:rPr>
          <w:rFonts w:hint="eastAsia" w:ascii="黑体" w:hAnsi="黑体" w:eastAsia="黑体" w:cs="黑体"/>
          <w:color w:val="auto"/>
          <w:szCs w:val="22"/>
          <w:highlight w:val="none"/>
        </w:rPr>
        <w:t>规划设计基础调绘</w:t>
      </w:r>
    </w:p>
    <w:p w14:paraId="566EF1C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lang w:val="en-GB"/>
        </w:rPr>
      </w:pPr>
      <w:r>
        <w:rPr>
          <w:color w:val="auto"/>
          <w:highlight w:val="none"/>
          <w:lang w:val="en-GB"/>
        </w:rPr>
        <w:t>地形测绘图上应详细反映拟建项目区</w:t>
      </w:r>
      <w:r>
        <w:rPr>
          <w:rFonts w:hint="eastAsia"/>
          <w:color w:val="auto"/>
          <w:highlight w:val="none"/>
          <w:lang w:val="en-GB"/>
        </w:rPr>
        <w:t>暗管</w:t>
      </w:r>
      <w:r>
        <w:rPr>
          <w:color w:val="auto"/>
          <w:highlight w:val="none"/>
          <w:lang w:val="en-GB"/>
        </w:rPr>
        <w:t>排水</w:t>
      </w:r>
      <w:r>
        <w:rPr>
          <w:rFonts w:hint="eastAsia"/>
          <w:color w:val="auto"/>
          <w:highlight w:val="none"/>
          <w:lang w:val="en-GB"/>
        </w:rPr>
        <w:t>规划</w:t>
      </w:r>
      <w:r>
        <w:rPr>
          <w:color w:val="auto"/>
          <w:highlight w:val="none"/>
          <w:lang w:val="en-GB"/>
        </w:rPr>
        <w:t>设计</w:t>
      </w:r>
      <w:r>
        <w:rPr>
          <w:rFonts w:hint="eastAsia"/>
          <w:color w:val="auto"/>
          <w:highlight w:val="none"/>
          <w:lang w:val="en-GB"/>
        </w:rPr>
        <w:t>所需的既有水利设施及其他基础设施</w:t>
      </w:r>
      <w:r>
        <w:rPr>
          <w:color w:val="auto"/>
          <w:highlight w:val="none"/>
          <w:lang w:val="en-GB"/>
        </w:rPr>
        <w:t>资料</w:t>
      </w:r>
      <w:r>
        <w:rPr>
          <w:rFonts w:hint="eastAsia"/>
          <w:color w:val="auto"/>
          <w:highlight w:val="none"/>
          <w:lang w:val="en-GB"/>
        </w:rPr>
        <w:t>，包括：（1）</w:t>
      </w:r>
      <w:r>
        <w:rPr>
          <w:color w:val="auto"/>
          <w:highlight w:val="none"/>
          <w:lang w:val="en-GB"/>
        </w:rPr>
        <w:t>项目区现有灌溉排水系统的分布情况、平面位置与运行状况；（</w:t>
      </w:r>
      <w:r>
        <w:rPr>
          <w:rFonts w:hint="eastAsia"/>
          <w:color w:val="auto"/>
          <w:highlight w:val="none"/>
          <w:lang w:val="en-GB"/>
        </w:rPr>
        <w:t>2）</w:t>
      </w:r>
      <w:r>
        <w:rPr>
          <w:color w:val="auto"/>
          <w:highlight w:val="none"/>
          <w:lang w:val="en-GB"/>
        </w:rPr>
        <w:t>其他地上和地下既有建筑物的位置与基本情况；（</w:t>
      </w:r>
      <w:r>
        <w:rPr>
          <w:rFonts w:hint="eastAsia"/>
          <w:color w:val="auto"/>
          <w:highlight w:val="none"/>
          <w:lang w:val="en-GB"/>
        </w:rPr>
        <w:t>3）应重点调查并明确标注</w:t>
      </w:r>
      <w:r>
        <w:rPr>
          <w:rFonts w:hint="eastAsia"/>
          <w:color w:val="auto"/>
          <w:highlight w:val="none"/>
        </w:rPr>
        <w:t>骨干排水系统以及暗管排水承泄区的基本状况与数据信息。</w:t>
      </w:r>
    </w:p>
    <w:p w14:paraId="3DD0E968">
      <w:pPr>
        <w:pStyle w:val="71"/>
        <w:rPr>
          <w:rFonts w:hint="eastAsia"/>
          <w:color w:val="auto"/>
          <w:highlight w:val="none"/>
        </w:rPr>
      </w:pPr>
      <w:bookmarkStart w:id="182" w:name="_Toc299889759"/>
      <w:bookmarkStart w:id="183" w:name="_Toc31653"/>
      <w:bookmarkStart w:id="184" w:name="_Toc522140489"/>
      <w:bookmarkStart w:id="185" w:name="_Toc5396"/>
      <w:bookmarkStart w:id="186" w:name="_Toc520709292"/>
      <w:bookmarkStart w:id="187" w:name="_Toc33"/>
      <w:bookmarkStart w:id="188" w:name="_Toc24166"/>
      <w:bookmarkStart w:id="189" w:name="_Toc14243"/>
      <w:bookmarkStart w:id="190" w:name="_Toc520823461"/>
      <w:bookmarkStart w:id="191" w:name="_Toc8000"/>
      <w:r>
        <w:rPr>
          <w:rFonts w:hint="eastAsia"/>
          <w:color w:val="auto"/>
          <w:highlight w:val="none"/>
        </w:rPr>
        <w:t>土壤调查</w:t>
      </w:r>
      <w:bookmarkEnd w:id="182"/>
      <w:bookmarkEnd w:id="183"/>
      <w:bookmarkEnd w:id="184"/>
      <w:bookmarkEnd w:id="185"/>
      <w:bookmarkEnd w:id="186"/>
      <w:bookmarkEnd w:id="187"/>
      <w:bookmarkEnd w:id="188"/>
      <w:bookmarkEnd w:id="189"/>
      <w:bookmarkEnd w:id="190"/>
      <w:bookmarkEnd w:id="191"/>
    </w:p>
    <w:p w14:paraId="19B198FA">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4.3.1 土壤自然环境调查</w:t>
      </w:r>
    </w:p>
    <w:p w14:paraId="11695A8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shd w:val="clear" w:color="auto" w:fill="auto"/>
        </w:rPr>
      </w:pPr>
      <w:r>
        <w:rPr>
          <w:color w:val="auto"/>
          <w:highlight w:val="none"/>
          <w:shd w:val="clear" w:color="auto" w:fill="auto"/>
        </w:rPr>
        <w:t>土壤自然环境状况调查内容与指标包括</w:t>
      </w:r>
      <w:r>
        <w:rPr>
          <w:rFonts w:hint="eastAsia"/>
          <w:color w:val="auto"/>
          <w:highlight w:val="none"/>
          <w:shd w:val="clear" w:color="auto" w:fill="auto"/>
        </w:rPr>
        <w:t>：（1）</w:t>
      </w:r>
      <w:r>
        <w:rPr>
          <w:color w:val="auto"/>
          <w:highlight w:val="none"/>
          <w:shd w:val="clear" w:color="auto" w:fill="auto"/>
        </w:rPr>
        <w:t>气象调查</w:t>
      </w:r>
      <w:r>
        <w:rPr>
          <w:rFonts w:hint="eastAsia"/>
          <w:color w:val="auto"/>
          <w:highlight w:val="none"/>
          <w:shd w:val="clear" w:color="auto" w:fill="auto"/>
        </w:rPr>
        <w:t>（</w:t>
      </w:r>
      <w:r>
        <w:rPr>
          <w:color w:val="auto"/>
          <w:highlight w:val="none"/>
          <w:shd w:val="clear" w:color="auto" w:fill="auto"/>
        </w:rPr>
        <w:t>气温、降水量、蒸发量等</w:t>
      </w:r>
      <w:r>
        <w:rPr>
          <w:rFonts w:hint="eastAsia"/>
          <w:color w:val="auto"/>
          <w:highlight w:val="none"/>
          <w:shd w:val="clear" w:color="auto" w:fill="auto"/>
        </w:rPr>
        <w:t>）</w:t>
      </w:r>
      <w:r>
        <w:rPr>
          <w:color w:val="auto"/>
          <w:highlight w:val="none"/>
          <w:shd w:val="clear" w:color="auto" w:fill="auto"/>
        </w:rPr>
        <w:t>；（</w:t>
      </w:r>
      <w:r>
        <w:rPr>
          <w:rFonts w:hint="eastAsia"/>
          <w:color w:val="auto"/>
          <w:highlight w:val="none"/>
          <w:shd w:val="clear" w:color="auto" w:fill="auto"/>
        </w:rPr>
        <w:t>2）</w:t>
      </w:r>
      <w:r>
        <w:rPr>
          <w:color w:val="auto"/>
          <w:highlight w:val="none"/>
          <w:shd w:val="clear" w:color="auto" w:fill="auto"/>
        </w:rPr>
        <w:t>水文调查</w:t>
      </w:r>
      <w:r>
        <w:rPr>
          <w:rFonts w:hint="eastAsia"/>
          <w:color w:val="auto"/>
          <w:highlight w:val="none"/>
          <w:shd w:val="clear" w:color="auto" w:fill="auto"/>
        </w:rPr>
        <w:t>（</w:t>
      </w:r>
      <w:r>
        <w:rPr>
          <w:color w:val="auto"/>
          <w:highlight w:val="none"/>
          <w:shd w:val="clear" w:color="auto" w:fill="auto"/>
        </w:rPr>
        <w:t>地表水和地下水的水位及其季节性变化、矿化度、地下水侧渗速率、给水度等</w:t>
      </w:r>
      <w:r>
        <w:rPr>
          <w:rFonts w:hint="eastAsia"/>
          <w:color w:val="auto"/>
          <w:highlight w:val="none"/>
          <w:shd w:val="clear" w:color="auto" w:fill="auto"/>
        </w:rPr>
        <w:t>）；（3）</w:t>
      </w:r>
      <w:r>
        <w:rPr>
          <w:color w:val="auto"/>
          <w:highlight w:val="none"/>
          <w:shd w:val="clear" w:color="auto" w:fill="auto"/>
        </w:rPr>
        <w:t>土地利用调查</w:t>
      </w:r>
      <w:r>
        <w:rPr>
          <w:rFonts w:hint="eastAsia"/>
          <w:color w:val="auto"/>
          <w:highlight w:val="none"/>
          <w:shd w:val="clear" w:color="auto" w:fill="auto"/>
        </w:rPr>
        <w:t>（</w:t>
      </w:r>
      <w:r>
        <w:rPr>
          <w:color w:val="auto"/>
          <w:highlight w:val="none"/>
          <w:shd w:val="clear" w:color="auto" w:fill="auto"/>
        </w:rPr>
        <w:t>土地利用类型、范围、面积和植被等</w:t>
      </w:r>
      <w:r>
        <w:rPr>
          <w:rFonts w:hint="eastAsia"/>
          <w:color w:val="auto"/>
          <w:highlight w:val="none"/>
          <w:shd w:val="clear" w:color="auto" w:fill="auto"/>
        </w:rPr>
        <w:t>）</w:t>
      </w:r>
      <w:r>
        <w:rPr>
          <w:color w:val="auto"/>
          <w:highlight w:val="none"/>
          <w:shd w:val="clear" w:color="auto" w:fill="auto"/>
        </w:rPr>
        <w:t>。</w:t>
      </w:r>
    </w:p>
    <w:p w14:paraId="7446A698">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4.3.2 土壤理化性状调查</w:t>
      </w:r>
    </w:p>
    <w:p w14:paraId="175629A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shd w:val="clear" w:color="auto" w:fill="auto"/>
        </w:rPr>
      </w:pPr>
      <w:bookmarkStart w:id="192" w:name="_Toc11793"/>
      <w:bookmarkStart w:id="193" w:name="_Toc14359"/>
      <w:bookmarkStart w:id="194" w:name="_Toc20854"/>
      <w:bookmarkStart w:id="195" w:name="_Toc21378"/>
      <w:bookmarkStart w:id="196" w:name="_Toc19370"/>
      <w:bookmarkStart w:id="197" w:name="_Toc19334"/>
      <w:bookmarkStart w:id="198" w:name="_Toc30140"/>
      <w:bookmarkStart w:id="199" w:name="_Toc17609"/>
      <w:bookmarkStart w:id="200" w:name="_Toc15988"/>
      <w:r>
        <w:rPr>
          <w:rFonts w:hint="eastAsia"/>
          <w:color w:val="auto"/>
          <w:highlight w:val="none"/>
          <w:shd w:val="clear" w:color="auto" w:fill="auto"/>
        </w:rPr>
        <w:t>土壤理化性状调查</w:t>
      </w:r>
      <w:bookmarkEnd w:id="192"/>
      <w:bookmarkEnd w:id="193"/>
      <w:bookmarkEnd w:id="194"/>
      <w:bookmarkEnd w:id="195"/>
      <w:r>
        <w:rPr>
          <w:rFonts w:hint="eastAsia"/>
          <w:color w:val="auto"/>
          <w:highlight w:val="none"/>
          <w:shd w:val="clear" w:color="auto" w:fill="auto"/>
        </w:rPr>
        <w:t>内容与指标包括：（</w:t>
      </w:r>
      <w:r>
        <w:rPr>
          <w:rFonts w:hint="eastAsia"/>
          <w:color w:val="auto"/>
          <w:highlight w:val="none"/>
          <w:shd w:val="clear" w:color="auto" w:fill="auto"/>
          <w:lang w:val="en-US" w:eastAsia="zh-CN"/>
        </w:rPr>
        <w:t>1</w:t>
      </w:r>
      <w:r>
        <w:rPr>
          <w:rFonts w:hint="eastAsia"/>
          <w:color w:val="auto"/>
          <w:highlight w:val="none"/>
          <w:shd w:val="clear" w:color="auto" w:fill="auto"/>
        </w:rPr>
        <w:t>）土壤物理性状调查包括土壤容重、孔隙度、田间持水</w:t>
      </w:r>
      <w:r>
        <w:rPr>
          <w:rFonts w:hint="eastAsia"/>
          <w:color w:val="auto"/>
          <w:highlight w:val="none"/>
          <w:shd w:val="clear" w:color="auto" w:fill="auto"/>
          <w:lang w:val="en-US" w:eastAsia="zh-CN"/>
        </w:rPr>
        <w:t>量</w:t>
      </w:r>
      <w:r>
        <w:rPr>
          <w:rFonts w:hint="eastAsia"/>
          <w:color w:val="auto"/>
          <w:highlight w:val="none"/>
          <w:shd w:val="clear" w:color="auto" w:fill="auto"/>
        </w:rPr>
        <w:t>、渗透系数、土壤颗粒组成（粒径分布）、质地类型等；（</w:t>
      </w:r>
      <w:r>
        <w:rPr>
          <w:rFonts w:hint="eastAsia"/>
          <w:color w:val="auto"/>
          <w:highlight w:val="none"/>
          <w:shd w:val="clear" w:color="auto" w:fill="auto"/>
          <w:lang w:val="en-US" w:eastAsia="zh-CN"/>
        </w:rPr>
        <w:t>2</w:t>
      </w:r>
      <w:r>
        <w:rPr>
          <w:rFonts w:hint="eastAsia"/>
          <w:color w:val="auto"/>
          <w:highlight w:val="none"/>
          <w:shd w:val="clear" w:color="auto" w:fill="auto"/>
        </w:rPr>
        <w:t>）土壤化学性状调查包括土壤水溶性盐分的总量及组分类型、土壤酸碱度（p</w:t>
      </w:r>
      <w:r>
        <w:rPr>
          <w:color w:val="auto"/>
          <w:highlight w:val="none"/>
          <w:shd w:val="clear" w:color="auto" w:fill="auto"/>
        </w:rPr>
        <w:t>H</w:t>
      </w:r>
      <w:r>
        <w:rPr>
          <w:rFonts w:hint="eastAsia"/>
          <w:color w:val="auto"/>
          <w:highlight w:val="none"/>
          <w:shd w:val="clear" w:color="auto" w:fill="auto"/>
        </w:rPr>
        <w:t>）、土壤碱化度（</w:t>
      </w:r>
      <w:r>
        <w:rPr>
          <w:color w:val="auto"/>
          <w:highlight w:val="none"/>
          <w:shd w:val="clear" w:color="auto" w:fill="auto"/>
        </w:rPr>
        <w:t>ESP</w:t>
      </w:r>
      <w:r>
        <w:rPr>
          <w:rFonts w:hint="eastAsia"/>
          <w:color w:val="auto"/>
          <w:highlight w:val="none"/>
          <w:shd w:val="clear" w:color="auto" w:fill="auto"/>
        </w:rPr>
        <w:t>）。</w:t>
      </w:r>
    </w:p>
    <w:p w14:paraId="34C5F840">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4.3.3 土壤剖面性状调查</w:t>
      </w:r>
    </w:p>
    <w:p w14:paraId="4CC4A0BA">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shd w:val="clear" w:color="auto" w:fill="auto"/>
          <w:lang w:val="en-US" w:eastAsia="zh-CN"/>
        </w:rPr>
      </w:pPr>
      <w:r>
        <w:rPr>
          <w:rFonts w:hint="eastAsia"/>
          <w:color w:val="auto"/>
          <w:highlight w:val="none"/>
          <w:shd w:val="clear" w:color="auto" w:fill="auto"/>
          <w:lang w:val="en-US" w:eastAsia="zh-CN"/>
        </w:rPr>
        <w:t>土壤剖面性状调查包括：（1）剖面深度范围内的土壤层次排列、厚度与数量；（2）土壤冻土层埋深；（3）地下水第一个连续稳定的不透水层埋深、厚度。</w:t>
      </w:r>
    </w:p>
    <w:p w14:paraId="5195428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shd w:val="clear" w:color="auto" w:fill="auto"/>
          <w:lang w:val="en-US" w:eastAsia="zh-CN"/>
        </w:rPr>
      </w:pPr>
      <w:r>
        <w:rPr>
          <w:rFonts w:hint="eastAsia"/>
          <w:color w:val="auto"/>
          <w:highlight w:val="none"/>
          <w:shd w:val="clear" w:color="auto" w:fill="auto"/>
        </w:rPr>
        <w:t>土壤剖面性状调查</w:t>
      </w:r>
      <w:r>
        <w:rPr>
          <w:rFonts w:hint="eastAsia"/>
          <w:color w:val="auto"/>
          <w:highlight w:val="none"/>
          <w:shd w:val="clear" w:color="auto" w:fill="auto"/>
          <w:lang w:val="en-US" w:eastAsia="zh-CN"/>
        </w:rPr>
        <w:t>应</w:t>
      </w:r>
      <w:r>
        <w:rPr>
          <w:rFonts w:hint="eastAsia"/>
          <w:color w:val="auto"/>
          <w:highlight w:val="none"/>
          <w:shd w:val="clear" w:color="auto" w:fill="auto"/>
        </w:rPr>
        <w:t>根据当地情况</w:t>
      </w:r>
      <w:r>
        <w:rPr>
          <w:rFonts w:hint="eastAsia"/>
          <w:color w:val="auto"/>
          <w:highlight w:val="none"/>
          <w:shd w:val="clear" w:color="auto" w:fill="auto"/>
          <w:lang w:val="en-US" w:eastAsia="zh-CN"/>
        </w:rPr>
        <w:t>与</w:t>
      </w:r>
      <w:r>
        <w:rPr>
          <w:rFonts w:hint="eastAsia"/>
          <w:color w:val="auto"/>
          <w:highlight w:val="none"/>
          <w:shd w:val="clear" w:color="auto" w:fill="auto"/>
        </w:rPr>
        <w:t>实际需</w:t>
      </w:r>
      <w:r>
        <w:rPr>
          <w:rFonts w:hint="eastAsia"/>
          <w:color w:val="auto"/>
          <w:highlight w:val="none"/>
          <w:shd w:val="clear" w:color="auto" w:fill="auto"/>
          <w:lang w:val="en-US" w:eastAsia="zh-CN"/>
        </w:rPr>
        <w:t>求，参考附录A方法，且满足GB15618相关规定</w:t>
      </w:r>
      <w:r>
        <w:rPr>
          <w:rFonts w:hint="eastAsia"/>
          <w:color w:val="auto"/>
          <w:highlight w:val="none"/>
          <w:shd w:val="clear" w:color="auto" w:fill="auto"/>
        </w:rPr>
        <w:t>。</w:t>
      </w:r>
    </w:p>
    <w:p w14:paraId="22D4DFF6">
      <w:pPr>
        <w:pStyle w:val="117"/>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0" w:afterLines="0" w:line="240" w:lineRule="auto"/>
        <w:textAlignment w:val="auto"/>
        <w:rPr>
          <w:color w:val="auto"/>
          <w:highlight w:val="none"/>
        </w:rPr>
      </w:pPr>
      <w:r>
        <w:rPr>
          <w:rFonts w:hint="eastAsia" w:ascii="黑体" w:hAnsi="黑体" w:eastAsia="黑体" w:cs="黑体"/>
          <w:color w:val="auto"/>
          <w:highlight w:val="none"/>
        </w:rPr>
        <w:t>4.3.</w:t>
      </w:r>
      <w:r>
        <w:rPr>
          <w:rFonts w:hint="eastAsia" w:ascii="黑体" w:hAnsi="黑体" w:eastAsia="黑体" w:cs="黑体"/>
          <w:color w:val="auto"/>
          <w:highlight w:val="none"/>
          <w:lang w:val="en-US" w:eastAsia="zh-CN"/>
        </w:rPr>
        <w:t>4</w:t>
      </w:r>
      <w:r>
        <w:rPr>
          <w:rFonts w:hint="eastAsia" w:ascii="黑体" w:hAnsi="黑体" w:eastAsia="黑体" w:cs="黑体"/>
          <w:color w:val="auto"/>
          <w:highlight w:val="none"/>
        </w:rPr>
        <w:t xml:space="preserve"> 土地利用调查与分类</w:t>
      </w:r>
    </w:p>
    <w:p w14:paraId="4F635B4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shd w:val="clear" w:color="auto" w:fill="auto"/>
        </w:rPr>
      </w:pPr>
      <w:r>
        <w:rPr>
          <w:color w:val="auto"/>
          <w:highlight w:val="none"/>
          <w:shd w:val="clear" w:color="auto" w:fill="auto"/>
        </w:rPr>
        <w:t>土地利用调查按GB/</w:t>
      </w:r>
      <w:r>
        <w:rPr>
          <w:rFonts w:hint="eastAsia"/>
          <w:color w:val="auto"/>
          <w:highlight w:val="none"/>
          <w:shd w:val="clear" w:color="auto" w:fill="auto"/>
          <w:lang w:val="en-US" w:eastAsia="zh-CN"/>
        </w:rPr>
        <w:t xml:space="preserve">T </w:t>
      </w:r>
      <w:r>
        <w:rPr>
          <w:color w:val="auto"/>
          <w:highlight w:val="none"/>
          <w:shd w:val="clear" w:color="auto" w:fill="auto"/>
        </w:rPr>
        <w:t>21010的要求进行，收集暗管排水工程项目区土地利用资料，确定其土地利用方式的类型、面积、布局分区和权属等</w:t>
      </w:r>
      <w:r>
        <w:rPr>
          <w:rFonts w:hint="eastAsia"/>
          <w:color w:val="auto"/>
          <w:highlight w:val="none"/>
          <w:shd w:val="clear" w:color="auto" w:fill="auto"/>
        </w:rPr>
        <w:t>。</w:t>
      </w:r>
    </w:p>
    <w:p w14:paraId="1F688F35">
      <w:pPr>
        <w:pStyle w:val="71"/>
        <w:rPr>
          <w:rFonts w:hint="default"/>
          <w:color w:val="auto"/>
          <w:highlight w:val="none"/>
          <w:lang w:val="en-US" w:eastAsia="zh-CN"/>
        </w:rPr>
      </w:pPr>
      <w:r>
        <w:rPr>
          <w:rFonts w:hint="eastAsia"/>
          <w:color w:val="auto"/>
          <w:highlight w:val="none"/>
          <w:lang w:val="en-US" w:eastAsia="zh-CN"/>
        </w:rPr>
        <w:t>基础数据收集与测定</w:t>
      </w:r>
    </w:p>
    <w:p w14:paraId="306C3ED6">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shd w:val="clear" w:color="auto" w:fill="auto"/>
          <w:lang w:val="en-US" w:eastAsia="zh-CN"/>
        </w:rPr>
      </w:pPr>
      <w:r>
        <w:rPr>
          <w:rFonts w:hint="eastAsia"/>
          <w:color w:val="auto"/>
          <w:highlight w:val="none"/>
          <w:shd w:val="clear" w:color="auto" w:fill="auto"/>
          <w:lang w:val="en-US" w:eastAsia="zh-CN"/>
        </w:rPr>
        <w:t>暗管排水工程设计主要基础数据包括：（1）地下水埋深、矿化度和临界深度；（2）土壤容重与颗粒组成；（3）土壤渗透系数；（4）田间持水率；（5）土壤盐分。</w:t>
      </w:r>
    </w:p>
    <w:p w14:paraId="69137BAE">
      <w:pPr>
        <w:pStyle w:val="117"/>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0" w:afterLines="0" w:line="240" w:lineRule="auto"/>
        <w:textAlignment w:val="auto"/>
        <w:rPr>
          <w:rFonts w:hint="default" w:cs="Times New Roman"/>
          <w:color w:val="auto"/>
          <w:highlight w:val="none"/>
          <w:lang w:val="en-US" w:eastAsia="zh-CN"/>
        </w:rPr>
      </w:pPr>
      <w:r>
        <w:rPr>
          <w:rFonts w:hint="eastAsia" w:ascii="黑体" w:hAnsi="黑体" w:eastAsia="黑体" w:cs="黑体"/>
          <w:color w:val="auto"/>
          <w:highlight w:val="none"/>
          <w:lang w:val="en-US" w:eastAsia="zh-CN"/>
        </w:rPr>
        <w:t>4.4.1 地下水埋深、矿化度和临界深度的测定</w:t>
      </w:r>
    </w:p>
    <w:p w14:paraId="07433C10">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default"/>
          <w:color w:val="auto"/>
          <w:highlight w:val="none"/>
          <w:shd w:val="clear" w:color="auto" w:fill="auto"/>
          <w:lang w:val="en-US" w:eastAsia="zh-CN"/>
        </w:rPr>
      </w:pPr>
      <w:r>
        <w:rPr>
          <w:rFonts w:hint="eastAsia"/>
          <w:color w:val="auto"/>
          <w:highlight w:val="none"/>
          <w:shd w:val="clear" w:color="auto" w:fill="auto"/>
        </w:rPr>
        <w:t>地下水埋深、矿化度</w:t>
      </w:r>
      <w:r>
        <w:rPr>
          <w:rFonts w:hint="eastAsia"/>
          <w:color w:val="auto"/>
          <w:highlight w:val="none"/>
          <w:shd w:val="clear" w:color="auto" w:fill="auto"/>
          <w:lang w:val="en-US" w:eastAsia="zh-CN"/>
        </w:rPr>
        <w:t>及</w:t>
      </w:r>
      <w:r>
        <w:rPr>
          <w:rFonts w:hint="eastAsia"/>
          <w:color w:val="auto"/>
          <w:highlight w:val="none"/>
          <w:shd w:val="clear" w:color="auto" w:fill="auto"/>
        </w:rPr>
        <w:t>临界深度</w:t>
      </w:r>
      <w:r>
        <w:rPr>
          <w:rFonts w:hint="eastAsia"/>
          <w:color w:val="auto"/>
          <w:highlight w:val="none"/>
          <w:shd w:val="clear" w:color="auto" w:fill="auto"/>
          <w:lang w:val="en-US" w:eastAsia="zh-CN"/>
        </w:rPr>
        <w:t>的测定执行</w:t>
      </w:r>
      <w:r>
        <w:rPr>
          <w:color w:val="auto"/>
          <w:highlight w:val="none"/>
          <w:shd w:val="clear" w:color="auto" w:fill="auto"/>
        </w:rPr>
        <w:t>SL79</w:t>
      </w:r>
      <w:r>
        <w:rPr>
          <w:rFonts w:hint="eastAsia"/>
          <w:color w:val="auto"/>
          <w:highlight w:val="none"/>
          <w:shd w:val="clear" w:color="auto" w:fill="auto"/>
          <w:lang w:val="en-US" w:eastAsia="zh-CN"/>
        </w:rPr>
        <w:t>和</w:t>
      </w:r>
      <w:r>
        <w:rPr>
          <w:color w:val="auto"/>
          <w:highlight w:val="none"/>
          <w:shd w:val="clear" w:color="auto" w:fill="auto"/>
        </w:rPr>
        <w:t>SL</w:t>
      </w:r>
      <w:r>
        <w:rPr>
          <w:rFonts w:hint="eastAsia"/>
          <w:color w:val="auto"/>
          <w:highlight w:val="none"/>
          <w:shd w:val="clear" w:color="auto" w:fill="auto"/>
          <w:lang w:val="en-US" w:eastAsia="zh-CN"/>
        </w:rPr>
        <w:t>/T4相关条款的规定。</w:t>
      </w:r>
    </w:p>
    <w:p w14:paraId="1E245EA6">
      <w:pPr>
        <w:pStyle w:val="117"/>
        <w:keepNext w:val="0"/>
        <w:keepLines w:val="0"/>
        <w:pageBreakBefore w:val="0"/>
        <w:widowControl/>
        <w:numPr>
          <w:ilvl w:val="2"/>
          <w:numId w:val="0"/>
        </w:numPr>
        <w:kinsoku/>
        <w:wordWrap/>
        <w:overflowPunct/>
        <w:topLinePunct w:val="0"/>
        <w:autoSpaceDE/>
        <w:autoSpaceDN/>
        <w:bidi w:val="0"/>
        <w:adjustRightInd w:val="0"/>
        <w:snapToGrid w:val="0"/>
        <w:spacing w:before="0" w:beforeLines="0" w:after="0" w:afterLines="0" w:line="240" w:lineRule="auto"/>
        <w:textAlignment w:val="auto"/>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4.4.2 土壤容重与颗粒组成的测定</w:t>
      </w:r>
    </w:p>
    <w:p w14:paraId="57644E1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shd w:val="clear" w:color="auto" w:fill="auto"/>
          <w:lang w:val="en-US" w:eastAsia="zh-CN"/>
        </w:rPr>
      </w:pPr>
      <w:r>
        <w:rPr>
          <w:rFonts w:hint="eastAsia"/>
          <w:color w:val="auto"/>
          <w:highlight w:val="none"/>
          <w:shd w:val="clear" w:color="auto" w:fill="auto"/>
          <w:lang w:val="en-US" w:eastAsia="zh-CN"/>
        </w:rPr>
        <w:t>土壤土壤容重与颗粒组成的测定满足GB15618相关规定，测定方法可执行NY/T1121推荐的方法。</w:t>
      </w:r>
    </w:p>
    <w:p w14:paraId="0BA9B977">
      <w:pPr>
        <w:pStyle w:val="117"/>
        <w:keepNext w:val="0"/>
        <w:keepLines w:val="0"/>
        <w:pageBreakBefore w:val="0"/>
        <w:widowControl/>
        <w:numPr>
          <w:ilvl w:val="2"/>
          <w:numId w:val="0"/>
        </w:numPr>
        <w:kinsoku/>
        <w:wordWrap/>
        <w:overflowPunct/>
        <w:topLinePunct w:val="0"/>
        <w:autoSpaceDE/>
        <w:autoSpaceDN/>
        <w:bidi w:val="0"/>
        <w:adjustRightInd w:val="0"/>
        <w:snapToGrid w:val="0"/>
        <w:spacing w:before="0" w:beforeLines="0" w:after="0" w:afterLines="0" w:line="240" w:lineRule="auto"/>
        <w:textAlignment w:val="auto"/>
        <w:rPr>
          <w:rFonts w:hint="eastAsia"/>
          <w:color w:val="auto"/>
          <w:highlight w:val="none"/>
        </w:rPr>
      </w:pPr>
      <w:r>
        <w:rPr>
          <w:rFonts w:hint="eastAsia" w:ascii="黑体" w:hAnsi="黑体" w:eastAsia="黑体" w:cs="黑体"/>
          <w:color w:val="auto"/>
          <w:highlight w:val="none"/>
          <w:lang w:val="en-US" w:eastAsia="zh-CN"/>
        </w:rPr>
        <w:t>4.4.3土壤</w:t>
      </w:r>
      <w:r>
        <w:rPr>
          <w:rFonts w:hint="eastAsia" w:ascii="黑体" w:hAnsi="黑体" w:eastAsia="黑体" w:cs="黑体"/>
          <w:color w:val="auto"/>
          <w:highlight w:val="none"/>
        </w:rPr>
        <w:t>渗透</w:t>
      </w:r>
      <w:r>
        <w:rPr>
          <w:rFonts w:hint="eastAsia" w:ascii="黑体" w:hAnsi="黑体" w:eastAsia="黑体" w:cs="黑体"/>
          <w:color w:val="auto"/>
          <w:highlight w:val="none"/>
          <w:lang w:val="en-US" w:eastAsia="zh-CN"/>
        </w:rPr>
        <w:t>系数</w:t>
      </w:r>
      <w:r>
        <w:rPr>
          <w:rFonts w:hint="eastAsia" w:ascii="黑体" w:hAnsi="黑体" w:eastAsia="黑体" w:cs="黑体"/>
          <w:color w:val="auto"/>
          <w:highlight w:val="none"/>
        </w:rPr>
        <w:t>测定</w:t>
      </w:r>
    </w:p>
    <w:p w14:paraId="4A49F4A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shd w:val="clear" w:color="auto" w:fill="auto"/>
        </w:rPr>
      </w:pPr>
      <w:r>
        <w:rPr>
          <w:color w:val="auto"/>
          <w:highlight w:val="none"/>
          <w:shd w:val="clear" w:color="auto" w:fill="auto"/>
        </w:rPr>
        <w:t>土壤</w:t>
      </w:r>
      <w:r>
        <w:rPr>
          <w:rFonts w:hint="eastAsia"/>
          <w:color w:val="auto"/>
          <w:highlight w:val="none"/>
          <w:shd w:val="clear" w:color="auto" w:fill="auto"/>
          <w:lang w:val="en-US" w:eastAsia="zh-CN"/>
        </w:rPr>
        <w:t>渗透系数包括</w:t>
      </w:r>
      <w:r>
        <w:rPr>
          <w:color w:val="auto"/>
          <w:highlight w:val="none"/>
          <w:shd w:val="clear" w:color="auto" w:fill="auto"/>
        </w:rPr>
        <w:t>水平与垂直方向的室内外测定</w:t>
      </w:r>
      <w:r>
        <w:rPr>
          <w:rFonts w:hint="eastAsia"/>
          <w:color w:val="auto"/>
          <w:highlight w:val="none"/>
          <w:shd w:val="clear" w:color="auto" w:fill="auto"/>
          <w:lang w:eastAsia="zh-CN"/>
        </w:rPr>
        <w:t>。</w:t>
      </w:r>
      <w:r>
        <w:rPr>
          <w:rFonts w:hint="eastAsia"/>
          <w:color w:val="auto"/>
          <w:highlight w:val="none"/>
          <w:shd w:val="clear" w:color="auto" w:fill="auto"/>
          <w:lang w:val="en-US" w:eastAsia="zh-CN"/>
        </w:rPr>
        <w:t>测定标准应满足</w:t>
      </w:r>
      <w:r>
        <w:rPr>
          <w:rFonts w:hint="eastAsia"/>
          <w:color w:val="auto"/>
          <w:highlight w:val="none"/>
          <w:shd w:val="clear" w:color="auto" w:fill="auto"/>
        </w:rPr>
        <w:t>GB 50288</w:t>
      </w:r>
      <w:r>
        <w:rPr>
          <w:rFonts w:hint="eastAsia"/>
          <w:color w:val="auto"/>
          <w:highlight w:val="none"/>
          <w:shd w:val="clear" w:color="auto" w:fill="auto"/>
          <w:lang w:val="en-US" w:eastAsia="zh-CN"/>
        </w:rPr>
        <w:t>的相关规定，测定方法可执行</w:t>
      </w:r>
      <w:r>
        <w:rPr>
          <w:color w:val="auto"/>
          <w:highlight w:val="none"/>
          <w:shd w:val="clear" w:color="auto" w:fill="auto"/>
        </w:rPr>
        <w:t>SL109</w:t>
      </w:r>
      <w:r>
        <w:rPr>
          <w:rFonts w:hint="eastAsia"/>
          <w:color w:val="auto"/>
          <w:highlight w:val="none"/>
          <w:shd w:val="clear" w:color="auto" w:fill="auto"/>
          <w:lang w:val="en-US" w:eastAsia="zh-CN"/>
        </w:rPr>
        <w:t>和SL/T4的推荐的方法。</w:t>
      </w:r>
    </w:p>
    <w:p w14:paraId="497BC9E9">
      <w:pPr>
        <w:pStyle w:val="117"/>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0" w:afterLines="0" w:line="240" w:lineRule="auto"/>
        <w:textAlignment w:val="auto"/>
        <w:rPr>
          <w:rFonts w:hint="eastAsia"/>
          <w:color w:val="auto"/>
          <w:highlight w:val="none"/>
        </w:rPr>
      </w:pPr>
      <w:r>
        <w:rPr>
          <w:rFonts w:hint="eastAsia" w:ascii="黑体" w:hAnsi="黑体" w:eastAsia="黑体" w:cs="黑体"/>
          <w:color w:val="auto"/>
          <w:highlight w:val="none"/>
          <w:lang w:val="en-US" w:eastAsia="zh-CN"/>
        </w:rPr>
        <w:t>4.4.4 田间</w:t>
      </w:r>
      <w:r>
        <w:rPr>
          <w:rFonts w:hint="eastAsia" w:ascii="黑体" w:hAnsi="黑体" w:eastAsia="黑体" w:cs="黑体"/>
          <w:color w:val="auto"/>
          <w:highlight w:val="none"/>
        </w:rPr>
        <w:t>持水</w:t>
      </w:r>
      <w:r>
        <w:rPr>
          <w:rFonts w:hint="eastAsia" w:ascii="黑体" w:hAnsi="黑体" w:eastAsia="黑体" w:cs="黑体"/>
          <w:color w:val="auto"/>
          <w:highlight w:val="none"/>
          <w:lang w:val="en-US" w:eastAsia="zh-CN"/>
        </w:rPr>
        <w:t>量</w:t>
      </w:r>
      <w:r>
        <w:rPr>
          <w:rFonts w:hint="eastAsia" w:ascii="黑体" w:hAnsi="黑体" w:eastAsia="黑体" w:cs="黑体"/>
          <w:color w:val="auto"/>
          <w:highlight w:val="none"/>
        </w:rPr>
        <w:t>测定</w:t>
      </w:r>
    </w:p>
    <w:p w14:paraId="124685B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shd w:val="clear" w:color="auto" w:fill="auto"/>
        </w:rPr>
      </w:pPr>
      <w:r>
        <w:rPr>
          <w:rFonts w:hint="eastAsia"/>
          <w:color w:val="auto"/>
          <w:highlight w:val="none"/>
          <w:shd w:val="clear" w:color="auto" w:fill="auto"/>
        </w:rPr>
        <w:t>田间持水</w:t>
      </w:r>
      <w:r>
        <w:rPr>
          <w:rFonts w:hint="eastAsia"/>
          <w:color w:val="auto"/>
          <w:highlight w:val="none"/>
          <w:shd w:val="clear" w:color="auto" w:fill="auto"/>
          <w:lang w:val="en-US" w:eastAsia="zh-CN"/>
        </w:rPr>
        <w:t>量的测定标准应满足GB50288的相关规定，测定方法可执行NY/T1121推荐的方法。</w:t>
      </w:r>
    </w:p>
    <w:p w14:paraId="3742F4FF">
      <w:pPr>
        <w:pStyle w:val="117"/>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0" w:afterLines="0" w:line="240" w:lineRule="auto"/>
        <w:textAlignment w:val="auto"/>
        <w:rPr>
          <w:color w:val="auto"/>
          <w:highlight w:val="none"/>
        </w:rPr>
      </w:pPr>
      <w:r>
        <w:rPr>
          <w:rFonts w:hint="eastAsia" w:ascii="黑体" w:hAnsi="黑体" w:eastAsia="黑体" w:cs="黑体"/>
          <w:color w:val="auto"/>
          <w:highlight w:val="none"/>
          <w:lang w:val="en-US" w:eastAsia="zh-CN"/>
        </w:rPr>
        <w:t>4.4.5 土</w:t>
      </w:r>
      <w:r>
        <w:rPr>
          <w:rFonts w:hint="eastAsia" w:ascii="黑体" w:hAnsi="黑体" w:eastAsia="黑体" w:cs="黑体"/>
          <w:color w:val="auto"/>
          <w:highlight w:val="none"/>
        </w:rPr>
        <w:t>壤盐分测定</w:t>
      </w:r>
    </w:p>
    <w:p w14:paraId="50E908B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shd w:val="clear" w:color="auto" w:fill="auto"/>
          <w:lang w:val="en-US" w:eastAsia="zh-CN"/>
        </w:rPr>
      </w:pPr>
      <w:r>
        <w:rPr>
          <w:rFonts w:hint="eastAsia"/>
          <w:color w:val="auto"/>
          <w:highlight w:val="none"/>
          <w:shd w:val="clear" w:color="auto" w:fill="auto"/>
        </w:rPr>
        <w:t>有防治土壤盐碱化要求的暗管排水工程项目区，</w:t>
      </w:r>
      <w:r>
        <w:rPr>
          <w:rFonts w:hint="eastAsia"/>
          <w:color w:val="auto"/>
          <w:highlight w:val="none"/>
          <w:shd w:val="clear" w:color="auto" w:fill="auto"/>
          <w:lang w:val="en-US" w:eastAsia="zh-CN"/>
        </w:rPr>
        <w:t>应</w:t>
      </w:r>
      <w:r>
        <w:rPr>
          <w:rFonts w:hint="eastAsia"/>
          <w:color w:val="auto"/>
          <w:highlight w:val="none"/>
          <w:shd w:val="clear" w:color="auto" w:fill="auto"/>
        </w:rPr>
        <w:t>测定土壤盐分类型与含量。</w:t>
      </w:r>
      <w:r>
        <w:rPr>
          <w:rFonts w:hint="eastAsia"/>
          <w:color w:val="auto"/>
          <w:highlight w:val="none"/>
          <w:shd w:val="clear" w:color="auto" w:fill="auto"/>
          <w:lang w:val="en-US" w:eastAsia="zh-CN"/>
        </w:rPr>
        <w:t>测定标准应满足</w:t>
      </w:r>
      <w:r>
        <w:rPr>
          <w:color w:val="auto"/>
          <w:highlight w:val="none"/>
          <w:shd w:val="clear" w:color="auto" w:fill="auto"/>
        </w:rPr>
        <w:t>GB/T 6682</w:t>
      </w:r>
      <w:r>
        <w:rPr>
          <w:rFonts w:hint="eastAsia"/>
          <w:color w:val="auto"/>
          <w:highlight w:val="none"/>
          <w:shd w:val="clear" w:color="auto" w:fill="auto"/>
          <w:lang w:val="en-US" w:eastAsia="zh-CN"/>
        </w:rPr>
        <w:t>相关规定。</w:t>
      </w:r>
      <w:r>
        <w:rPr>
          <w:rFonts w:hint="eastAsia"/>
          <w:color w:val="auto"/>
          <w:highlight w:val="none"/>
          <w:shd w:val="clear" w:color="auto" w:fill="auto"/>
        </w:rPr>
        <w:t>土壤水溶性盐分类型与含量</w:t>
      </w:r>
      <w:r>
        <w:rPr>
          <w:rFonts w:hint="eastAsia"/>
          <w:color w:val="auto"/>
          <w:highlight w:val="none"/>
          <w:shd w:val="clear" w:color="auto" w:fill="auto"/>
          <w:lang w:val="en-US" w:eastAsia="zh-CN"/>
        </w:rPr>
        <w:t>的测定方法可执行NY/T1121推荐的方法。</w:t>
      </w:r>
    </w:p>
    <w:p w14:paraId="387856E6">
      <w:pPr>
        <w:pStyle w:val="90"/>
        <w:keepNext w:val="0"/>
        <w:keepLines w:val="0"/>
        <w:pageBreakBefore w:val="0"/>
        <w:widowControl/>
        <w:kinsoku/>
        <w:wordWrap/>
        <w:overflowPunct/>
        <w:topLinePunct w:val="0"/>
        <w:autoSpaceDE/>
        <w:autoSpaceDN/>
        <w:bidi w:val="0"/>
        <w:adjustRightInd/>
        <w:snapToGrid/>
        <w:spacing w:before="313" w:beforeLines="100" w:after="313" w:afterLines="100"/>
        <w:textAlignment w:val="auto"/>
        <w:rPr>
          <w:rFonts w:hint="eastAsia"/>
          <w:color w:val="auto"/>
          <w:highlight w:val="none"/>
        </w:rPr>
      </w:pPr>
      <w:bookmarkStart w:id="201" w:name="_Toc520823462"/>
      <w:bookmarkStart w:id="202" w:name="_Toc520709293"/>
      <w:bookmarkStart w:id="203" w:name="_Toc522140490"/>
      <w:bookmarkStart w:id="204" w:name="_Toc27067"/>
      <w:bookmarkStart w:id="205" w:name="_Toc15669"/>
      <w:bookmarkStart w:id="206" w:name="_Toc299889760"/>
      <w:r>
        <w:rPr>
          <w:rFonts w:hint="eastAsia"/>
          <w:color w:val="auto"/>
          <w:highlight w:val="none"/>
        </w:rPr>
        <w:t>工程规划</w:t>
      </w:r>
      <w:bookmarkEnd w:id="196"/>
      <w:bookmarkEnd w:id="197"/>
      <w:bookmarkEnd w:id="198"/>
      <w:bookmarkEnd w:id="199"/>
      <w:bookmarkEnd w:id="200"/>
      <w:bookmarkEnd w:id="201"/>
      <w:bookmarkEnd w:id="202"/>
      <w:bookmarkEnd w:id="203"/>
      <w:bookmarkEnd w:id="204"/>
      <w:bookmarkEnd w:id="205"/>
      <w:bookmarkEnd w:id="206"/>
    </w:p>
    <w:p w14:paraId="4E2FBE90">
      <w:pPr>
        <w:pStyle w:val="71"/>
        <w:keepNext w:val="0"/>
        <w:keepLines w:val="0"/>
        <w:pageBreakBefore w:val="0"/>
        <w:widowControl/>
        <w:kinsoku/>
        <w:wordWrap/>
        <w:overflowPunct/>
        <w:topLinePunct w:val="0"/>
        <w:autoSpaceDE/>
        <w:autoSpaceDN/>
        <w:bidi w:val="0"/>
        <w:adjustRightInd/>
        <w:snapToGrid/>
        <w:textAlignment w:val="auto"/>
        <w:rPr>
          <w:rFonts w:hint="eastAsia"/>
          <w:color w:val="auto"/>
          <w:highlight w:val="none"/>
        </w:rPr>
      </w:pPr>
      <w:bookmarkStart w:id="207" w:name="_Toc4797"/>
      <w:bookmarkStart w:id="208" w:name="_Toc520823463"/>
      <w:bookmarkStart w:id="209" w:name="_Toc25189"/>
      <w:bookmarkStart w:id="210" w:name="_Toc6248"/>
      <w:bookmarkStart w:id="211" w:name="_Toc8380"/>
      <w:bookmarkStart w:id="212" w:name="_Toc522140491"/>
      <w:bookmarkStart w:id="213" w:name="_Toc20635"/>
      <w:bookmarkStart w:id="214" w:name="_Toc20940"/>
      <w:bookmarkStart w:id="215" w:name="_Toc520709294"/>
      <w:bookmarkStart w:id="216" w:name="_Toc299889761"/>
      <w:r>
        <w:rPr>
          <w:rFonts w:hint="eastAsia"/>
          <w:color w:val="auto"/>
          <w:highlight w:val="none"/>
          <w:lang w:val="en-US" w:eastAsia="zh-CN"/>
        </w:rPr>
        <w:t>基本规定与要求</w:t>
      </w:r>
      <w:bookmarkEnd w:id="207"/>
      <w:bookmarkEnd w:id="208"/>
      <w:bookmarkEnd w:id="209"/>
      <w:bookmarkEnd w:id="210"/>
      <w:bookmarkEnd w:id="211"/>
      <w:bookmarkEnd w:id="212"/>
      <w:bookmarkEnd w:id="213"/>
      <w:bookmarkEnd w:id="214"/>
      <w:bookmarkEnd w:id="215"/>
      <w:bookmarkEnd w:id="216"/>
    </w:p>
    <w:p w14:paraId="329373F3">
      <w:pPr>
        <w:pStyle w:val="25"/>
        <w:keepNext w:val="0"/>
        <w:keepLines w:val="0"/>
        <w:pageBreakBefore w:val="0"/>
        <w:widowControl/>
        <w:kinsoku/>
        <w:wordWrap/>
        <w:overflowPunct/>
        <w:topLinePunct w:val="0"/>
        <w:bidi w:val="0"/>
        <w:adjustRightInd w:val="0"/>
        <w:snapToGrid w:val="0"/>
        <w:spacing w:line="240" w:lineRule="auto"/>
        <w:ind w:firstLine="0" w:firstLineChars="0"/>
        <w:textAlignment w:val="auto"/>
        <w:rPr>
          <w:rFonts w:hint="eastAsia" w:ascii="黑体" w:hAnsi="黑体" w:eastAsia="黑体" w:cs="黑体"/>
          <w:color w:val="auto"/>
          <w:highlight w:val="none"/>
        </w:rPr>
      </w:pPr>
      <w:r>
        <w:rPr>
          <w:rFonts w:hint="eastAsia" w:ascii="黑体" w:hAnsi="黑体" w:eastAsia="黑体" w:cs="黑体"/>
          <w:color w:val="auto"/>
          <w:sz w:val="21"/>
          <w:szCs w:val="21"/>
          <w:highlight w:val="none"/>
          <w:lang w:val="en-US" w:eastAsia="zh-CN" w:bidi="ar-SA"/>
        </w:rPr>
        <w:t>5.1.1 暗管排</w:t>
      </w:r>
      <w:r>
        <w:rPr>
          <w:rFonts w:hint="eastAsia" w:ascii="黑体" w:hAnsi="黑体" w:eastAsia="黑体" w:cs="黑体"/>
          <w:color w:val="auto"/>
          <w:highlight w:val="none"/>
        </w:rPr>
        <w:t>水系统组成及</w:t>
      </w:r>
      <w:r>
        <w:rPr>
          <w:rFonts w:hint="eastAsia" w:ascii="黑体" w:hAnsi="黑体" w:eastAsia="黑体" w:cs="黑体"/>
          <w:color w:val="auto"/>
          <w:highlight w:val="none"/>
          <w:lang w:val="en-US" w:eastAsia="zh-CN"/>
        </w:rPr>
        <w:t>排水驱动</w:t>
      </w:r>
      <w:r>
        <w:rPr>
          <w:rFonts w:hint="eastAsia" w:ascii="黑体" w:hAnsi="黑体" w:eastAsia="黑体" w:cs="黑体"/>
          <w:color w:val="auto"/>
          <w:highlight w:val="none"/>
        </w:rPr>
        <w:t>模式</w:t>
      </w:r>
    </w:p>
    <w:p w14:paraId="2A2523A2">
      <w:pPr>
        <w:pStyle w:val="117"/>
        <w:keepNext w:val="0"/>
        <w:keepLines w:val="0"/>
        <w:pageBreakBefore w:val="0"/>
        <w:widowControl/>
        <w:numPr>
          <w:ilvl w:val="0"/>
          <w:numId w:val="0"/>
        </w:numPr>
        <w:kinsoku/>
        <w:wordWrap/>
        <w:overflowPunct/>
        <w:topLinePunct w:val="0"/>
        <w:bidi w:val="0"/>
        <w:adjustRightInd w:val="0"/>
        <w:snapToGrid w:val="0"/>
        <w:spacing w:before="0" w:beforeLines="0" w:after="0" w:afterLines="0" w:line="240" w:lineRule="auto"/>
        <w:ind w:firstLine="420" w:firstLineChars="200"/>
        <w:textAlignment w:val="auto"/>
        <w:rPr>
          <w:color w:val="auto"/>
          <w:highlight w:val="none"/>
        </w:rPr>
      </w:pPr>
      <w:r>
        <w:rPr>
          <w:color w:val="auto"/>
          <w:highlight w:val="none"/>
        </w:rPr>
        <w:t>暗管排水系统通常由吸水管、集水管、附属建筑物和承泄区等组成。</w:t>
      </w:r>
    </w:p>
    <w:p w14:paraId="4A4AEB37">
      <w:pPr>
        <w:pStyle w:val="117"/>
        <w:keepNext w:val="0"/>
        <w:keepLines w:val="0"/>
        <w:pageBreakBefore w:val="0"/>
        <w:widowControl/>
        <w:numPr>
          <w:ilvl w:val="0"/>
          <w:numId w:val="0"/>
        </w:numPr>
        <w:kinsoku/>
        <w:wordWrap/>
        <w:overflowPunct/>
        <w:topLinePunct w:val="0"/>
        <w:bidi w:val="0"/>
        <w:adjustRightInd w:val="0"/>
        <w:snapToGrid w:val="0"/>
        <w:spacing w:before="0" w:beforeLines="0" w:after="0" w:afterLines="0" w:line="240" w:lineRule="auto"/>
        <w:ind w:firstLine="420" w:firstLineChars="200"/>
        <w:textAlignment w:val="auto"/>
        <w:rPr>
          <w:color w:val="auto"/>
          <w:highlight w:val="none"/>
        </w:rPr>
      </w:pPr>
      <w:r>
        <w:rPr>
          <w:color w:val="auto"/>
          <w:highlight w:val="none"/>
        </w:rPr>
        <w:t>根据排水进入承泄区的方式，排水</w:t>
      </w:r>
      <w:r>
        <w:rPr>
          <w:rFonts w:hint="eastAsia"/>
          <w:color w:val="auto"/>
          <w:highlight w:val="none"/>
          <w:lang w:val="en-US" w:eastAsia="zh-CN"/>
        </w:rPr>
        <w:t>驱动</w:t>
      </w:r>
      <w:r>
        <w:rPr>
          <w:color w:val="auto"/>
          <w:highlight w:val="none"/>
        </w:rPr>
        <w:t>模式划分为靠自重排入承泄区的自流排水模式和</w:t>
      </w:r>
      <w:r>
        <w:rPr>
          <w:rFonts w:hint="eastAsia"/>
          <w:color w:val="auto"/>
          <w:highlight w:val="none"/>
        </w:rPr>
        <w:t>由水泵强制排入</w:t>
      </w:r>
      <w:r>
        <w:rPr>
          <w:color w:val="auto"/>
          <w:highlight w:val="none"/>
        </w:rPr>
        <w:t>承泄区</w:t>
      </w:r>
      <w:r>
        <w:rPr>
          <w:rFonts w:hint="eastAsia"/>
          <w:color w:val="auto"/>
          <w:highlight w:val="none"/>
        </w:rPr>
        <w:t>的</w:t>
      </w:r>
      <w:r>
        <w:rPr>
          <w:color w:val="auto"/>
          <w:highlight w:val="none"/>
        </w:rPr>
        <w:t>强制排水模式。</w:t>
      </w:r>
    </w:p>
    <w:p w14:paraId="2D2D4DCB">
      <w:pPr>
        <w:pStyle w:val="25"/>
        <w:keepNext w:val="0"/>
        <w:keepLines w:val="0"/>
        <w:pageBreakBefore w:val="0"/>
        <w:widowControl/>
        <w:kinsoku/>
        <w:wordWrap/>
        <w:overflowPunct/>
        <w:topLinePunct w:val="0"/>
        <w:bidi w:val="0"/>
        <w:adjustRightInd w:val="0"/>
        <w:snapToGrid w:val="0"/>
        <w:spacing w:line="240" w:lineRule="auto"/>
        <w:ind w:firstLine="0" w:firstLineChars="0"/>
        <w:textAlignment w:val="auto"/>
        <w:rPr>
          <w:rFonts w:hint="default"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5.1.2 暗管</w:t>
      </w:r>
      <w:r>
        <w:rPr>
          <w:rFonts w:hint="eastAsia" w:ascii="黑体" w:hAnsi="黑体" w:eastAsia="黑体" w:cs="黑体"/>
          <w:color w:val="auto"/>
          <w:highlight w:val="none"/>
        </w:rPr>
        <w:t>排水级别</w:t>
      </w:r>
      <w:r>
        <w:rPr>
          <w:rFonts w:hint="eastAsia" w:ascii="黑体" w:hAnsi="黑体" w:eastAsia="黑体" w:cs="黑体"/>
          <w:color w:val="auto"/>
          <w:highlight w:val="none"/>
          <w:lang w:val="en-US" w:eastAsia="zh-CN"/>
        </w:rPr>
        <w:t>界定</w:t>
      </w:r>
    </w:p>
    <w:p w14:paraId="7A6E9ED5">
      <w:pPr>
        <w:pStyle w:val="117"/>
        <w:keepNext w:val="0"/>
        <w:keepLines w:val="0"/>
        <w:pageBreakBefore w:val="0"/>
        <w:widowControl/>
        <w:numPr>
          <w:ilvl w:val="0"/>
          <w:numId w:val="0"/>
        </w:numPr>
        <w:kinsoku/>
        <w:wordWrap/>
        <w:overflowPunct/>
        <w:topLinePunct w:val="0"/>
        <w:bidi w:val="0"/>
        <w:adjustRightInd w:val="0"/>
        <w:snapToGrid w:val="0"/>
        <w:spacing w:before="0" w:beforeLines="0" w:after="0" w:afterLines="0" w:line="240" w:lineRule="auto"/>
        <w:ind w:firstLine="420" w:firstLineChars="200"/>
        <w:textAlignment w:val="auto"/>
        <w:rPr>
          <w:rFonts w:hint="eastAsia" w:eastAsia="宋体"/>
          <w:color w:val="auto"/>
          <w:highlight w:val="none"/>
          <w:lang w:eastAsia="zh-CN"/>
        </w:rPr>
      </w:pPr>
      <w:r>
        <w:rPr>
          <w:color w:val="auto"/>
          <w:highlight w:val="none"/>
        </w:rPr>
        <w:t>田间吸水管出口直接入明沟的布置形式为</w:t>
      </w:r>
      <w:r>
        <w:rPr>
          <w:rFonts w:hint="eastAsia"/>
          <w:color w:val="auto"/>
          <w:highlight w:val="none"/>
        </w:rPr>
        <w:t>一级排水</w:t>
      </w:r>
      <w:r>
        <w:rPr>
          <w:rFonts w:hint="eastAsia"/>
          <w:color w:val="auto"/>
          <w:highlight w:val="none"/>
          <w:lang w:eastAsia="zh-CN"/>
        </w:rPr>
        <w:t>。</w:t>
      </w:r>
    </w:p>
    <w:p w14:paraId="59D8FDD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ascii="黑体" w:hAnsi="黑体" w:eastAsia="黑体" w:cs="黑体"/>
          <w:color w:val="auto"/>
          <w:highlight w:val="none"/>
        </w:rPr>
      </w:pPr>
      <w:r>
        <w:rPr>
          <w:color w:val="auto"/>
          <w:highlight w:val="none"/>
        </w:rPr>
        <w:t>田间吸水管排水汇入集水管再自流排入明沟的布置形式</w:t>
      </w:r>
      <w:r>
        <w:rPr>
          <w:rFonts w:hint="eastAsia"/>
          <w:color w:val="auto"/>
          <w:highlight w:val="none"/>
        </w:rPr>
        <w:t>或吸水管排水汇入集水管后通过泵站将水强制排入明沟</w:t>
      </w:r>
      <w:r>
        <w:rPr>
          <w:color w:val="auto"/>
          <w:highlight w:val="none"/>
        </w:rPr>
        <w:t>为二级</w:t>
      </w:r>
      <w:r>
        <w:rPr>
          <w:rFonts w:hint="eastAsia"/>
          <w:color w:val="auto"/>
          <w:highlight w:val="none"/>
        </w:rPr>
        <w:t>排水。</w:t>
      </w:r>
    </w:p>
    <w:p w14:paraId="66EE359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Times New Roman" w:eastAsia="黑体" w:cs="Times New Roman"/>
          <w:color w:val="auto"/>
          <w:sz w:val="21"/>
          <w:szCs w:val="21"/>
          <w:highlight w:val="none"/>
          <w:lang w:val="en-US" w:eastAsia="zh-CN" w:bidi="ar-SA"/>
        </w:rPr>
        <w:t>5.1.3 灌排水</w:t>
      </w:r>
      <w:r>
        <w:rPr>
          <w:rFonts w:hint="eastAsia" w:ascii="黑体" w:hAnsi="黑体" w:eastAsia="黑体" w:cs="黑体"/>
          <w:color w:val="auto"/>
          <w:highlight w:val="none"/>
        </w:rPr>
        <w:t>循环利用</w:t>
      </w:r>
    </w:p>
    <w:p w14:paraId="141CA304">
      <w:pPr>
        <w:pStyle w:val="99"/>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0" w:afterLines="0" w:line="240" w:lineRule="auto"/>
        <w:ind w:firstLine="420" w:firstLineChars="200"/>
        <w:jc w:val="left"/>
        <w:textAlignment w:val="auto"/>
        <w:rPr>
          <w:rFonts w:hint="eastAsia" w:ascii="宋体" w:hAnsi="宋体" w:eastAsia="宋体"/>
          <w:color w:val="auto"/>
          <w:szCs w:val="21"/>
          <w:highlight w:val="none"/>
          <w:lang w:eastAsia="zh-CN"/>
        </w:rPr>
      </w:pPr>
      <w:r>
        <w:rPr>
          <w:rFonts w:hint="eastAsia" w:ascii="宋体" w:hAnsi="宋体" w:eastAsia="宋体"/>
          <w:color w:val="auto"/>
          <w:szCs w:val="21"/>
          <w:highlight w:val="none"/>
        </w:rPr>
        <w:t>条件允许时，应规划灌排水循环利用方案，将暗管排水引入灌溉系统，实现水资源高效重复利用。暗管排水用于灌溉的水质标准参见表5.</w:t>
      </w:r>
      <w:r>
        <w:rPr>
          <w:rFonts w:hint="eastAsia" w:ascii="宋体" w:hAnsi="宋体" w:eastAsia="宋体"/>
          <w:color w:val="auto"/>
          <w:szCs w:val="21"/>
          <w:highlight w:val="none"/>
          <w:lang w:val="en-US" w:eastAsia="zh-CN"/>
        </w:rPr>
        <w:t>1</w:t>
      </w:r>
      <w:r>
        <w:rPr>
          <w:rFonts w:hint="eastAsia" w:ascii="宋体" w:hAnsi="宋体" w:eastAsia="宋体"/>
          <w:color w:val="auto"/>
          <w:szCs w:val="21"/>
          <w:highlight w:val="none"/>
        </w:rPr>
        <w:t>-1</w:t>
      </w:r>
      <w:r>
        <w:rPr>
          <w:rFonts w:hint="eastAsia" w:ascii="宋体" w:hAnsi="宋体" w:eastAsia="宋体"/>
          <w:color w:val="auto"/>
          <w:szCs w:val="21"/>
          <w:highlight w:val="none"/>
          <w:lang w:eastAsia="zh-CN"/>
        </w:rPr>
        <w:t>。</w:t>
      </w:r>
    </w:p>
    <w:p w14:paraId="5D8D9FC1">
      <w:pPr>
        <w:pStyle w:val="99"/>
        <w:keepNext w:val="0"/>
        <w:keepLines w:val="0"/>
        <w:pageBreakBefore w:val="0"/>
        <w:widowControl/>
        <w:numPr>
          <w:ilvl w:val="0"/>
          <w:numId w:val="0"/>
        </w:numPr>
        <w:kinsoku/>
        <w:wordWrap/>
        <w:overflowPunct/>
        <w:topLinePunct w:val="0"/>
        <w:autoSpaceDE/>
        <w:autoSpaceDN/>
        <w:bidi w:val="0"/>
        <w:adjustRightInd/>
        <w:snapToGrid/>
        <w:spacing w:before="0" w:beforeLines="0" w:after="0" w:afterLines="0" w:line="240" w:lineRule="auto"/>
        <w:textAlignment w:val="auto"/>
        <w:rPr>
          <w:rFonts w:hint="eastAsia" w:ascii="宋体" w:hAnsi="宋体" w:eastAsia="宋体" w:cs="宋体"/>
          <w:b/>
          <w:bCs/>
          <w:color w:val="auto"/>
          <w:sz w:val="18"/>
          <w:szCs w:val="18"/>
          <w:highlight w:val="none"/>
        </w:rPr>
      </w:pPr>
      <w:r>
        <w:rPr>
          <w:rFonts w:hint="eastAsia" w:ascii="宋体" w:hAnsi="宋体" w:eastAsia="宋体" w:cs="宋体"/>
          <w:b/>
          <w:bCs/>
          <w:color w:val="auto"/>
          <w:sz w:val="18"/>
          <w:szCs w:val="18"/>
          <w:highlight w:val="none"/>
        </w:rPr>
        <w:t>表5.</w:t>
      </w:r>
      <w:r>
        <w:rPr>
          <w:rFonts w:hint="eastAsia" w:ascii="宋体" w:hAnsi="宋体" w:eastAsia="宋体" w:cs="宋体"/>
          <w:b/>
          <w:bCs/>
          <w:color w:val="auto"/>
          <w:sz w:val="18"/>
          <w:szCs w:val="18"/>
          <w:highlight w:val="none"/>
          <w:lang w:val="en-US" w:eastAsia="zh-CN"/>
        </w:rPr>
        <w:t>1</w:t>
      </w:r>
      <w:r>
        <w:rPr>
          <w:rFonts w:hint="eastAsia" w:ascii="宋体" w:hAnsi="宋体" w:eastAsia="宋体" w:cs="宋体"/>
          <w:b/>
          <w:bCs/>
          <w:color w:val="auto"/>
          <w:sz w:val="18"/>
          <w:szCs w:val="18"/>
          <w:highlight w:val="none"/>
        </w:rPr>
        <w:t>-1农田灌溉水质全盐量（TDS）规定</w:t>
      </w:r>
    </w:p>
    <w:tbl>
      <w:tblPr>
        <w:tblStyle w:val="34"/>
        <w:tblW w:w="957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1417"/>
        <w:gridCol w:w="2268"/>
        <w:gridCol w:w="4359"/>
      </w:tblGrid>
      <w:tr w14:paraId="73DAC30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tcBorders>
              <w:top w:val="single" w:color="auto" w:sz="8" w:space="0"/>
              <w:bottom w:val="single" w:color="auto" w:sz="8" w:space="0"/>
            </w:tcBorders>
            <w:vAlign w:val="top"/>
          </w:tcPr>
          <w:p w14:paraId="549928CC">
            <w:pPr>
              <w:jc w:val="center"/>
              <w:rPr>
                <w:rFonts w:hint="eastAsia" w:ascii="宋体" w:hAnsi="宋体" w:eastAsia="宋体" w:cs="宋体"/>
                <w:color w:val="auto"/>
                <w:sz w:val="18"/>
                <w:highlight w:val="none"/>
              </w:rPr>
            </w:pPr>
            <w:r>
              <w:rPr>
                <w:rFonts w:hint="eastAsia" w:ascii="宋体" w:hAnsi="宋体" w:eastAsia="宋体" w:cs="宋体"/>
                <w:color w:val="auto"/>
                <w:sz w:val="18"/>
                <w:szCs w:val="18"/>
                <w:highlight w:val="none"/>
              </w:rPr>
              <w:t>全盐量（TDS）</w:t>
            </w:r>
          </w:p>
        </w:tc>
        <w:tc>
          <w:tcPr>
            <w:tcW w:w="1417" w:type="dxa"/>
            <w:tcBorders>
              <w:top w:val="single" w:color="auto" w:sz="8" w:space="0"/>
              <w:bottom w:val="single" w:color="auto" w:sz="8" w:space="0"/>
            </w:tcBorders>
            <w:vAlign w:val="top"/>
          </w:tcPr>
          <w:p w14:paraId="07BD31E9">
            <w:pPr>
              <w:jc w:val="center"/>
              <w:rPr>
                <w:rFonts w:hint="eastAsia" w:ascii="宋体" w:hAnsi="宋体" w:eastAsia="宋体" w:cs="宋体"/>
                <w:color w:val="auto"/>
                <w:sz w:val="18"/>
                <w:highlight w:val="none"/>
              </w:rPr>
            </w:pPr>
            <w:r>
              <w:rPr>
                <w:rFonts w:hint="eastAsia" w:ascii="宋体" w:hAnsi="宋体" w:eastAsia="宋体" w:cs="宋体"/>
                <w:color w:val="auto"/>
                <w:sz w:val="18"/>
                <w:szCs w:val="18"/>
                <w:highlight w:val="none"/>
              </w:rPr>
              <w:t>小于2g/L</w:t>
            </w:r>
          </w:p>
        </w:tc>
        <w:tc>
          <w:tcPr>
            <w:tcW w:w="2268" w:type="dxa"/>
            <w:tcBorders>
              <w:top w:val="single" w:color="auto" w:sz="8" w:space="0"/>
              <w:bottom w:val="single" w:color="auto" w:sz="8" w:space="0"/>
            </w:tcBorders>
            <w:vAlign w:val="top"/>
          </w:tcPr>
          <w:p w14:paraId="2D3EDD21">
            <w:pPr>
              <w:jc w:val="center"/>
              <w:rPr>
                <w:rFonts w:hint="eastAsia" w:ascii="宋体" w:hAnsi="宋体" w:eastAsia="宋体" w:cs="宋体"/>
                <w:color w:val="auto"/>
                <w:sz w:val="18"/>
                <w:highlight w:val="none"/>
              </w:rPr>
            </w:pPr>
            <w:r>
              <w:rPr>
                <w:rFonts w:hint="eastAsia" w:ascii="宋体" w:hAnsi="宋体" w:eastAsia="宋体" w:cs="宋体"/>
                <w:color w:val="auto"/>
                <w:sz w:val="18"/>
                <w:szCs w:val="18"/>
                <w:highlight w:val="none"/>
              </w:rPr>
              <w:t>2～5g/L</w:t>
            </w:r>
          </w:p>
        </w:tc>
        <w:tc>
          <w:tcPr>
            <w:tcW w:w="4359" w:type="dxa"/>
            <w:tcBorders>
              <w:top w:val="single" w:color="auto" w:sz="8" w:space="0"/>
              <w:bottom w:val="single" w:color="auto" w:sz="8" w:space="0"/>
            </w:tcBorders>
            <w:vAlign w:val="top"/>
          </w:tcPr>
          <w:p w14:paraId="0B2C182E">
            <w:pPr>
              <w:pStyle w:val="25"/>
              <w:ind w:firstLine="0" w:firstLineChars="0"/>
              <w:jc w:val="center"/>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大于5g/L</w:t>
            </w:r>
          </w:p>
        </w:tc>
      </w:tr>
      <w:tr w14:paraId="0BE674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tcBorders>
              <w:top w:val="single" w:color="auto" w:sz="8" w:space="0"/>
            </w:tcBorders>
            <w:vAlign w:val="top"/>
          </w:tcPr>
          <w:p w14:paraId="7299E16D">
            <w:pPr>
              <w:pStyle w:val="25"/>
              <w:ind w:firstLine="0" w:firstLineChars="0"/>
              <w:jc w:val="center"/>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灌溉要求</w:t>
            </w:r>
          </w:p>
        </w:tc>
        <w:tc>
          <w:tcPr>
            <w:tcW w:w="1417" w:type="dxa"/>
            <w:tcBorders>
              <w:top w:val="single" w:color="auto" w:sz="8" w:space="0"/>
            </w:tcBorders>
            <w:vAlign w:val="top"/>
          </w:tcPr>
          <w:p w14:paraId="652A74EF">
            <w:pPr>
              <w:pStyle w:val="25"/>
              <w:ind w:firstLine="0" w:firstLineChars="0"/>
              <w:jc w:val="center"/>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直接灌溉</w:t>
            </w:r>
          </w:p>
        </w:tc>
        <w:tc>
          <w:tcPr>
            <w:tcW w:w="2268" w:type="dxa"/>
            <w:tcBorders>
              <w:top w:val="single" w:color="auto" w:sz="8" w:space="0"/>
            </w:tcBorders>
            <w:vAlign w:val="top"/>
          </w:tcPr>
          <w:p w14:paraId="4A551E41">
            <w:pPr>
              <w:pStyle w:val="25"/>
              <w:ind w:firstLine="0" w:firstLineChars="0"/>
              <w:jc w:val="center"/>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与灌溉水源混掺灌溉</w:t>
            </w:r>
          </w:p>
        </w:tc>
        <w:tc>
          <w:tcPr>
            <w:tcW w:w="4359" w:type="dxa"/>
            <w:tcBorders>
              <w:top w:val="single" w:color="auto" w:sz="8" w:space="0"/>
            </w:tcBorders>
            <w:vAlign w:val="top"/>
          </w:tcPr>
          <w:p w14:paraId="15423C14">
            <w:pPr>
              <w:pStyle w:val="25"/>
              <w:ind w:firstLine="0" w:firstLineChars="0"/>
              <w:jc w:val="center"/>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t>不宜灌溉，排出（可以采取简易过滤装置达标灌溉）</w:t>
            </w:r>
          </w:p>
        </w:tc>
      </w:tr>
    </w:tbl>
    <w:p w14:paraId="58B576C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5.1.4 暗</w:t>
      </w:r>
      <w:r>
        <w:rPr>
          <w:rFonts w:hint="eastAsia" w:ascii="黑体" w:hAnsi="黑体" w:eastAsia="黑体" w:cs="黑体"/>
          <w:color w:val="auto"/>
          <w:highlight w:val="none"/>
          <w:lang w:val="en-US" w:eastAsia="zh-CN"/>
        </w:rPr>
        <w:t>管排水规划原则</w:t>
      </w:r>
    </w:p>
    <w:p w14:paraId="1FD976E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查明涝渍、盐碱灾害及排水不畅原因，评估暗管排水工程的必要性，遵循蓄排</w:t>
      </w:r>
      <w:r>
        <w:rPr>
          <w:color w:val="auto"/>
          <w:highlight w:val="none"/>
        </w:rPr>
        <w:t>兼施</w:t>
      </w:r>
      <w:r>
        <w:rPr>
          <w:rFonts w:hint="eastAsia"/>
          <w:color w:val="auto"/>
          <w:highlight w:val="none"/>
        </w:rPr>
        <w:t>、灌排协调原则进行规划布局。</w:t>
      </w:r>
    </w:p>
    <w:p w14:paraId="041696E7">
      <w:pPr>
        <w:pStyle w:val="117"/>
        <w:keepNext w:val="0"/>
        <w:keepLines w:val="0"/>
        <w:pageBreakBefore w:val="0"/>
        <w:widowControl/>
        <w:numPr>
          <w:ilvl w:val="2"/>
          <w:numId w:val="0"/>
        </w:numPr>
        <w:kinsoku/>
        <w:wordWrap/>
        <w:overflowPunct/>
        <w:topLinePunct w:val="0"/>
        <w:autoSpaceDE/>
        <w:autoSpaceDN/>
        <w:bidi w:val="0"/>
        <w:spacing w:line="240" w:lineRule="auto"/>
        <w:ind w:firstLine="420" w:firstLineChars="200"/>
        <w:textAlignment w:val="auto"/>
        <w:rPr>
          <w:rFonts w:hint="eastAsia"/>
          <w:color w:val="auto"/>
          <w:highlight w:val="none"/>
        </w:rPr>
      </w:pPr>
      <w:r>
        <w:rPr>
          <w:color w:val="auto"/>
          <w:highlight w:val="none"/>
        </w:rPr>
        <w:t>综合考虑灾害类型、地形水系、土地利用、排水条件及管理需求，合理选择排水模式，构建配套明沟、竖井等设施的高效排水系统。</w:t>
      </w:r>
    </w:p>
    <w:p w14:paraId="59B24F93">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结合灌区现状排水分区、蓄排方式、湖泊湿地的人工补水方案、环境与生态保护及其工程措施，在适宜建设暗管排水工程的区域，分类施策规划布置农田暗管排水工程。</w:t>
      </w:r>
    </w:p>
    <w:p w14:paraId="665F2ACE">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暗管排水入沟再利用的区域，实行独立规划和闭环管理，应严格监测规划区内农田排水与村镇工业废水、生活污水达标排水状况。</w:t>
      </w:r>
    </w:p>
    <w:p w14:paraId="7E934702">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color w:val="auto"/>
          <w:highlight w:val="none"/>
        </w:rPr>
        <w:t>加强暗管排水系统的信息化和智能化建设，完善水情测报与预警机制，提升规划效益与运行管理水平。</w:t>
      </w:r>
    </w:p>
    <w:p w14:paraId="5653BBB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default"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5.1.5 暗管</w:t>
      </w:r>
      <w:r>
        <w:rPr>
          <w:rFonts w:hint="eastAsia" w:ascii="黑体" w:hAnsi="黑体" w:eastAsia="黑体" w:cs="黑体"/>
          <w:color w:val="auto"/>
          <w:highlight w:val="none"/>
          <w:lang w:val="en-US" w:eastAsia="zh-CN"/>
        </w:rPr>
        <w:t>排水规划要求</w:t>
      </w:r>
    </w:p>
    <w:p w14:paraId="08D5D3CE">
      <w:pPr>
        <w:pStyle w:val="25"/>
        <w:keepNext w:val="0"/>
        <w:keepLines w:val="0"/>
        <w:pageBreakBefore w:val="0"/>
        <w:widowControl/>
        <w:kinsoku/>
        <w:wordWrap/>
        <w:overflowPunct/>
        <w:topLinePunct w:val="0"/>
        <w:bidi w:val="0"/>
        <w:adjustRightInd w:val="0"/>
        <w:snapToGrid w:val="0"/>
        <w:spacing w:line="240" w:lineRule="auto"/>
        <w:ind w:firstLine="420" w:firstLineChars="200"/>
        <w:textAlignment w:val="auto"/>
        <w:rPr>
          <w:rFonts w:hint="eastAsia" w:ascii="Times New Roman"/>
          <w:color w:val="auto"/>
          <w:highlight w:val="none"/>
        </w:rPr>
      </w:pPr>
      <w:r>
        <w:rPr>
          <w:rFonts w:ascii="Times New Roman"/>
          <w:color w:val="auto"/>
          <w:kern w:val="2"/>
          <w:highlight w:val="none"/>
        </w:rPr>
        <w:t>农田</w:t>
      </w:r>
      <w:r>
        <w:rPr>
          <w:rFonts w:ascii="Times New Roman"/>
          <w:color w:val="auto"/>
          <w:highlight w:val="none"/>
        </w:rPr>
        <w:t>暗管排水工程</w:t>
      </w:r>
      <w:r>
        <w:rPr>
          <w:rFonts w:hint="eastAsia" w:ascii="Times New Roman"/>
          <w:color w:val="auto"/>
          <w:highlight w:val="none"/>
          <w:lang w:val="en-US" w:eastAsia="zh-CN"/>
        </w:rPr>
        <w:t>规划</w:t>
      </w:r>
      <w:r>
        <w:rPr>
          <w:rFonts w:ascii="Times New Roman"/>
          <w:color w:val="auto"/>
          <w:highlight w:val="none"/>
        </w:rPr>
        <w:t>，应根据工程建设要求，全面搜集分析所需资料，进行必要的勘测、试验，积极采用新技术、新工艺和新材料，做到与当地农业、水利区划相</w:t>
      </w:r>
      <w:r>
        <w:rPr>
          <w:rFonts w:hint="eastAsia" w:ascii="Times New Roman"/>
          <w:color w:val="auto"/>
          <w:highlight w:val="none"/>
          <w:lang w:val="en-US" w:eastAsia="zh-CN"/>
        </w:rPr>
        <w:t>协调</w:t>
      </w:r>
      <w:r>
        <w:rPr>
          <w:rFonts w:ascii="Times New Roman"/>
          <w:color w:val="auto"/>
          <w:highlight w:val="none"/>
        </w:rPr>
        <w:t>，</w:t>
      </w:r>
      <w:r>
        <w:rPr>
          <w:rFonts w:hint="eastAsia" w:ascii="Times New Roman"/>
          <w:color w:val="auto"/>
          <w:highlight w:val="none"/>
        </w:rPr>
        <w:t>统筹规划</w:t>
      </w:r>
      <w:r>
        <w:rPr>
          <w:rFonts w:ascii="Times New Roman"/>
          <w:color w:val="auto"/>
          <w:highlight w:val="none"/>
        </w:rPr>
        <w:t>，综合治理，获取减灾增产的持久效果。</w:t>
      </w:r>
    </w:p>
    <w:p w14:paraId="65F1FB43">
      <w:pPr>
        <w:pStyle w:val="117"/>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0" w:afterLines="0" w:line="240" w:lineRule="auto"/>
        <w:ind w:firstLine="420" w:firstLineChars="200"/>
        <w:textAlignment w:val="auto"/>
        <w:rPr>
          <w:rFonts w:hint="eastAsia"/>
          <w:color w:val="auto"/>
          <w:highlight w:val="none"/>
        </w:rPr>
      </w:pPr>
      <w:r>
        <w:rPr>
          <w:color w:val="auto"/>
          <w:highlight w:val="none"/>
        </w:rPr>
        <w:t>在条件允许情况下，首选自流排水</w:t>
      </w:r>
      <w:r>
        <w:rPr>
          <w:rFonts w:hint="eastAsia"/>
          <w:color w:val="auto"/>
          <w:highlight w:val="none"/>
          <w:lang w:val="en-US" w:eastAsia="zh-CN"/>
        </w:rPr>
        <w:t>模</w:t>
      </w:r>
      <w:r>
        <w:rPr>
          <w:color w:val="auto"/>
          <w:highlight w:val="none"/>
        </w:rPr>
        <w:t>式。规划设计强排模式，应进行灌排水平衡计算，合理确定各级暗管排水工程规模，使吸水管、集水管和集水井的规格与尺寸相匹配，且尽量减小集水管道的设置长度和埋置深度，避免集水管跨越高级别渠道和沟道</w:t>
      </w:r>
      <w:r>
        <w:rPr>
          <w:rFonts w:hint="eastAsia"/>
          <w:color w:val="auto"/>
          <w:highlight w:val="none"/>
        </w:rPr>
        <w:t>。</w:t>
      </w:r>
    </w:p>
    <w:p w14:paraId="4502C09E">
      <w:pPr>
        <w:pStyle w:val="117"/>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0" w:afterLines="0" w:line="240" w:lineRule="auto"/>
        <w:ind w:firstLine="420" w:firstLineChars="200"/>
        <w:textAlignment w:val="auto"/>
        <w:rPr>
          <w:rFonts w:hint="eastAsia" w:cs="Times New Roman"/>
          <w:color w:val="auto"/>
          <w:highlight w:val="none"/>
        </w:rPr>
      </w:pPr>
      <w:r>
        <w:rPr>
          <w:rFonts w:hint="eastAsia" w:cs="Times New Roman"/>
          <w:color w:val="auto"/>
          <w:highlight w:val="none"/>
        </w:rPr>
        <w:t>在宁夏光照资源充足地区，强排模式</w:t>
      </w:r>
      <w:r>
        <w:rPr>
          <w:rFonts w:hint="eastAsia" w:cs="Times New Roman"/>
          <w:color w:val="auto"/>
          <w:highlight w:val="none"/>
          <w:lang w:val="en-US" w:eastAsia="zh-CN"/>
        </w:rPr>
        <w:t>宜建设光</w:t>
      </w:r>
      <w:r>
        <w:rPr>
          <w:rFonts w:hint="eastAsia" w:cs="Times New Roman"/>
          <w:color w:val="auto"/>
          <w:highlight w:val="none"/>
        </w:rPr>
        <w:t>伏发电泵站，排水面积宜控制在66公顷以内（对应光伏发电有效功率约5千瓦）。</w:t>
      </w:r>
    </w:p>
    <w:p w14:paraId="04E799D1">
      <w:pPr>
        <w:pStyle w:val="117"/>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0" w:afterLines="0" w:line="240" w:lineRule="auto"/>
        <w:textAlignment w:val="auto"/>
        <w:rPr>
          <w:rFonts w:hint="eastAsia" w:ascii="黑体" w:hAnsi="黑体" w:eastAsia="黑体" w:cs="黑体"/>
          <w:color w:val="auto"/>
          <w:highlight w:val="none"/>
        </w:rPr>
      </w:pPr>
      <w:r>
        <w:rPr>
          <w:rFonts w:hint="eastAsia" w:ascii="黑体" w:hAnsi="Times New Roman" w:eastAsia="黑体" w:cs="Times New Roman"/>
          <w:color w:val="auto"/>
          <w:sz w:val="21"/>
          <w:szCs w:val="21"/>
          <w:highlight w:val="none"/>
          <w:lang w:val="en-US" w:eastAsia="zh-CN" w:bidi="ar-SA"/>
        </w:rPr>
        <w:t>5.1.6 规划</w:t>
      </w:r>
      <w:r>
        <w:rPr>
          <w:rFonts w:hint="eastAsia" w:ascii="黑体" w:hAnsi="黑体" w:eastAsia="黑体" w:cs="黑体"/>
          <w:color w:val="auto"/>
          <w:highlight w:val="none"/>
        </w:rPr>
        <w:t>方案比选</w:t>
      </w:r>
    </w:p>
    <w:p w14:paraId="6DF8C45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规划</w:t>
      </w:r>
      <w:r>
        <w:rPr>
          <w:color w:val="auto"/>
          <w:highlight w:val="none"/>
        </w:rPr>
        <w:t>方案</w:t>
      </w:r>
      <w:r>
        <w:rPr>
          <w:rFonts w:hint="eastAsia"/>
          <w:color w:val="auto"/>
          <w:highlight w:val="none"/>
        </w:rPr>
        <w:t>比选</w:t>
      </w:r>
      <w:r>
        <w:rPr>
          <w:rFonts w:hint="eastAsia"/>
          <w:color w:val="auto"/>
          <w:highlight w:val="none"/>
          <w:lang w:val="en-US" w:eastAsia="zh-CN"/>
        </w:rPr>
        <w:t>应满足</w:t>
      </w:r>
      <w:r>
        <w:rPr>
          <w:rFonts w:hint="eastAsia"/>
          <w:color w:val="auto"/>
          <w:highlight w:val="none"/>
        </w:rPr>
        <w:t>：（1）通过</w:t>
      </w:r>
      <w:r>
        <w:rPr>
          <w:color w:val="auto"/>
          <w:highlight w:val="none"/>
        </w:rPr>
        <w:t>农业水资源供需平衡计算，</w:t>
      </w:r>
      <w:r>
        <w:rPr>
          <w:rFonts w:hint="eastAsia"/>
          <w:color w:val="auto"/>
          <w:highlight w:val="none"/>
        </w:rPr>
        <w:t>明确不同</w:t>
      </w:r>
      <w:r>
        <w:rPr>
          <w:color w:val="auto"/>
          <w:highlight w:val="none"/>
        </w:rPr>
        <w:t>灌溉保证率下的灌排水量变化规律；</w:t>
      </w:r>
      <w:r>
        <w:rPr>
          <w:rFonts w:hint="eastAsia"/>
          <w:color w:val="auto"/>
          <w:highlight w:val="none"/>
        </w:rPr>
        <w:t>（2）</w:t>
      </w:r>
      <w:r>
        <w:rPr>
          <w:color w:val="auto"/>
          <w:highlight w:val="none"/>
        </w:rPr>
        <w:t>治渍区</w:t>
      </w:r>
      <w:r>
        <w:rPr>
          <w:rFonts w:hint="eastAsia"/>
          <w:color w:val="auto"/>
          <w:highlight w:val="none"/>
        </w:rPr>
        <w:t>地面</w:t>
      </w:r>
      <w:r>
        <w:rPr>
          <w:color w:val="auto"/>
          <w:highlight w:val="none"/>
        </w:rPr>
        <w:t>排涝</w:t>
      </w:r>
      <w:r>
        <w:rPr>
          <w:rFonts w:hint="eastAsia"/>
          <w:color w:val="auto"/>
          <w:highlight w:val="none"/>
        </w:rPr>
        <w:t>与</w:t>
      </w:r>
      <w:r>
        <w:rPr>
          <w:color w:val="auto"/>
          <w:highlight w:val="none"/>
        </w:rPr>
        <w:t>灌溉系统</w:t>
      </w:r>
      <w:r>
        <w:rPr>
          <w:rFonts w:hint="eastAsia"/>
          <w:color w:val="auto"/>
          <w:highlight w:val="none"/>
        </w:rPr>
        <w:t>需相配套</w:t>
      </w:r>
      <w:r>
        <w:rPr>
          <w:color w:val="auto"/>
          <w:highlight w:val="none"/>
        </w:rPr>
        <w:t>，保证暗管出流畅通；</w:t>
      </w:r>
      <w:r>
        <w:rPr>
          <w:rFonts w:hint="eastAsia"/>
          <w:color w:val="auto"/>
          <w:highlight w:val="none"/>
        </w:rPr>
        <w:t>（3）在已建灌区改造中，应充分利用现有灌排设施，与田间系统协调优化，必要时局部调整；（4）</w:t>
      </w:r>
      <w:r>
        <w:rPr>
          <w:color w:val="auto"/>
          <w:highlight w:val="none"/>
        </w:rPr>
        <w:t>措施得当、占地较少、管理方便；</w:t>
      </w:r>
      <w:r>
        <w:rPr>
          <w:rFonts w:hint="eastAsia"/>
          <w:color w:val="auto"/>
          <w:highlight w:val="none"/>
        </w:rPr>
        <w:t>（5）</w:t>
      </w:r>
      <w:r>
        <w:rPr>
          <w:color w:val="auto"/>
          <w:highlight w:val="none"/>
        </w:rPr>
        <w:t>建设投资省、运行费用低、综合效益高；</w:t>
      </w:r>
      <w:r>
        <w:rPr>
          <w:rFonts w:hint="eastAsia"/>
          <w:color w:val="auto"/>
          <w:highlight w:val="none"/>
        </w:rPr>
        <w:t>（6）</w:t>
      </w:r>
      <w:r>
        <w:rPr>
          <w:color w:val="auto"/>
          <w:highlight w:val="none"/>
        </w:rPr>
        <w:t>有利于保护和改善</w:t>
      </w:r>
      <w:r>
        <w:rPr>
          <w:rFonts w:hint="eastAsia"/>
          <w:color w:val="auto"/>
          <w:highlight w:val="none"/>
        </w:rPr>
        <w:t>项目</w:t>
      </w:r>
      <w:r>
        <w:rPr>
          <w:color w:val="auto"/>
          <w:highlight w:val="none"/>
        </w:rPr>
        <w:t>区生态环境，促进农业可持续发展。</w:t>
      </w:r>
    </w:p>
    <w:p w14:paraId="23D82107">
      <w:pPr>
        <w:pStyle w:val="71"/>
        <w:keepNext w:val="0"/>
        <w:keepLines w:val="0"/>
        <w:pageBreakBefore w:val="0"/>
        <w:widowControl/>
        <w:kinsoku/>
        <w:wordWrap/>
        <w:overflowPunct/>
        <w:topLinePunct w:val="0"/>
        <w:autoSpaceDE/>
        <w:autoSpaceDN/>
        <w:bidi w:val="0"/>
        <w:adjustRightInd/>
        <w:snapToGrid/>
        <w:textAlignment w:val="auto"/>
        <w:rPr>
          <w:rFonts w:hint="eastAsia"/>
          <w:color w:val="auto"/>
          <w:highlight w:val="none"/>
        </w:rPr>
      </w:pPr>
      <w:bookmarkStart w:id="217" w:name="_Toc16843"/>
      <w:bookmarkStart w:id="218" w:name="_Toc522140493"/>
      <w:bookmarkStart w:id="219" w:name="_Toc21478"/>
      <w:bookmarkStart w:id="220" w:name="_Toc520823465"/>
      <w:bookmarkStart w:id="221" w:name="_Toc520709296"/>
      <w:bookmarkStart w:id="222" w:name="_Toc299889763"/>
      <w:bookmarkStart w:id="223" w:name="_Toc9998"/>
      <w:bookmarkStart w:id="224" w:name="_Toc32416"/>
      <w:bookmarkStart w:id="225" w:name="_Toc17296"/>
      <w:bookmarkStart w:id="226" w:name="_Toc31058"/>
      <w:bookmarkStart w:id="227" w:name="_Toc22845"/>
      <w:bookmarkStart w:id="228" w:name="_Toc944"/>
      <w:bookmarkStart w:id="229" w:name="_Toc12431"/>
      <w:bookmarkStart w:id="230" w:name="_Toc21529"/>
      <w:r>
        <w:rPr>
          <w:rFonts w:hint="eastAsia"/>
          <w:color w:val="auto"/>
          <w:highlight w:val="none"/>
        </w:rPr>
        <w:t>暗管排水工程</w:t>
      </w:r>
      <w:bookmarkEnd w:id="217"/>
      <w:bookmarkEnd w:id="218"/>
      <w:bookmarkEnd w:id="219"/>
      <w:bookmarkEnd w:id="220"/>
      <w:bookmarkEnd w:id="221"/>
      <w:bookmarkEnd w:id="222"/>
      <w:r>
        <w:rPr>
          <w:rFonts w:hint="eastAsia"/>
          <w:color w:val="auto"/>
          <w:highlight w:val="none"/>
        </w:rPr>
        <w:t>规划布置</w:t>
      </w:r>
    </w:p>
    <w:p w14:paraId="27524AF5">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textAlignment w:val="auto"/>
        <w:rPr>
          <w:color w:val="auto"/>
          <w:highlight w:val="none"/>
        </w:rPr>
      </w:pPr>
      <w:r>
        <w:rPr>
          <w:rFonts w:hint="eastAsia" w:ascii="黑体" w:hAnsi="Times New Roman" w:eastAsia="黑体" w:cs="Times New Roman"/>
          <w:color w:val="auto"/>
          <w:sz w:val="21"/>
          <w:szCs w:val="21"/>
          <w:highlight w:val="none"/>
          <w:lang w:val="en-US" w:eastAsia="zh-CN" w:bidi="ar-SA"/>
        </w:rPr>
        <w:t>5.2.1 布置</w:t>
      </w:r>
      <w:r>
        <w:rPr>
          <w:rFonts w:hint="eastAsia" w:ascii="黑体" w:hAnsi="黑体" w:eastAsia="黑体" w:cs="黑体"/>
          <w:color w:val="auto"/>
          <w:highlight w:val="none"/>
          <w:lang w:val="en-US" w:eastAsia="zh-CN"/>
        </w:rPr>
        <w:t>原则</w:t>
      </w:r>
    </w:p>
    <w:p w14:paraId="593B46E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lang w:eastAsia="zh-CN"/>
        </w:rPr>
      </w:pPr>
      <w:r>
        <w:rPr>
          <w:color w:val="auto"/>
          <w:highlight w:val="none"/>
        </w:rPr>
        <w:t>暗管排水工程布局应根据</w:t>
      </w:r>
      <w:r>
        <w:rPr>
          <w:rFonts w:hint="eastAsia"/>
          <w:color w:val="auto"/>
          <w:highlight w:val="none"/>
          <w:lang w:val="en-US" w:eastAsia="zh-CN"/>
        </w:rPr>
        <w:t>规划区</w:t>
      </w:r>
      <w:r>
        <w:rPr>
          <w:color w:val="auto"/>
          <w:highlight w:val="none"/>
        </w:rPr>
        <w:t>水文、地形地貌、涝渍及盐碱化成因、作物种植结构等因素，按照“分片排水、排蓄结合、自排为主、抽排为辅”的原则，兼顾灌溉和生态保护的要求，农业和水利规划相结合，工程措施与非工程措施相结合，从灌区骨干排水工程到田间暗管排水工程统筹规划，制定</w:t>
      </w:r>
      <w:r>
        <w:rPr>
          <w:rFonts w:hint="eastAsia"/>
          <w:color w:val="auto"/>
          <w:highlight w:val="none"/>
        </w:rPr>
        <w:t>具体</w:t>
      </w:r>
      <w:r>
        <w:rPr>
          <w:color w:val="auto"/>
          <w:highlight w:val="none"/>
        </w:rPr>
        <w:t>实施计划</w:t>
      </w:r>
      <w:r>
        <w:rPr>
          <w:rFonts w:hint="eastAsia"/>
          <w:color w:val="auto"/>
          <w:highlight w:val="none"/>
          <w:lang w:eastAsia="zh-CN"/>
        </w:rPr>
        <w:t>。</w:t>
      </w:r>
    </w:p>
    <w:p w14:paraId="0102552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lang w:eastAsia="zh-CN"/>
        </w:rPr>
      </w:pPr>
      <w:r>
        <w:rPr>
          <w:rFonts w:hint="eastAsia"/>
          <w:color w:val="auto"/>
          <w:highlight w:val="none"/>
          <w:lang w:val="en-US" w:eastAsia="zh-CN"/>
        </w:rPr>
        <w:t>土壤盐渍化较重规划区</w:t>
      </w:r>
      <w:r>
        <w:rPr>
          <w:color w:val="auto"/>
          <w:highlight w:val="none"/>
        </w:rPr>
        <w:t>应视涝渍</w:t>
      </w:r>
      <w:r>
        <w:rPr>
          <w:rFonts w:hint="eastAsia"/>
          <w:color w:val="auto"/>
          <w:highlight w:val="none"/>
        </w:rPr>
        <w:t>、</w:t>
      </w:r>
      <w:r>
        <w:rPr>
          <w:color w:val="auto"/>
          <w:highlight w:val="none"/>
        </w:rPr>
        <w:t>盐碱的灾害成因和排水任务，</w:t>
      </w:r>
      <w:r>
        <w:rPr>
          <w:rFonts w:hint="eastAsia"/>
          <w:color w:val="auto"/>
          <w:highlight w:val="none"/>
        </w:rPr>
        <w:t>结合当地实践经验，</w:t>
      </w:r>
      <w:r>
        <w:rPr>
          <w:rFonts w:hint="eastAsia"/>
          <w:color w:val="auto"/>
          <w:highlight w:val="none"/>
          <w:lang w:val="en-US" w:eastAsia="zh-CN"/>
        </w:rPr>
        <w:t>可</w:t>
      </w:r>
      <w:r>
        <w:rPr>
          <w:color w:val="auto"/>
          <w:highlight w:val="none"/>
        </w:rPr>
        <w:t>采取</w:t>
      </w:r>
      <w:r>
        <w:rPr>
          <w:rFonts w:hint="eastAsia"/>
          <w:color w:val="auto"/>
          <w:highlight w:val="none"/>
          <w:lang w:val="en-US" w:eastAsia="zh-CN"/>
        </w:rPr>
        <w:t>田间</w:t>
      </w:r>
      <w:r>
        <w:rPr>
          <w:color w:val="auto"/>
          <w:highlight w:val="none"/>
        </w:rPr>
        <w:t>暗管</w:t>
      </w:r>
      <w:r>
        <w:rPr>
          <w:rFonts w:hint="eastAsia"/>
          <w:color w:val="auto"/>
          <w:highlight w:val="none"/>
          <w:lang w:eastAsia="zh-CN"/>
        </w:rPr>
        <w:t>、</w:t>
      </w:r>
      <w:r>
        <w:rPr>
          <w:rFonts w:hint="eastAsia"/>
          <w:color w:val="auto"/>
          <w:highlight w:val="none"/>
          <w:lang w:val="en-US" w:eastAsia="zh-CN"/>
        </w:rPr>
        <w:t>支干</w:t>
      </w:r>
      <w:r>
        <w:rPr>
          <w:color w:val="auto"/>
          <w:highlight w:val="none"/>
        </w:rPr>
        <w:t>明沟、竖井相结合的排水</w:t>
      </w:r>
      <w:r>
        <w:rPr>
          <w:rFonts w:hint="eastAsia"/>
          <w:color w:val="auto"/>
          <w:highlight w:val="none"/>
          <w:lang w:val="en-US" w:eastAsia="zh-CN"/>
        </w:rPr>
        <w:t>方式治理盐碱地。</w:t>
      </w:r>
    </w:p>
    <w:p w14:paraId="3B8B653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暗管排水系统组成、分级与管道类型、规格等，应根据排水规模、控制要求、地形、土质、管材、滤料和施工条件等因素，通过经济比较确定。</w:t>
      </w:r>
    </w:p>
    <w:p w14:paraId="1C469C60">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textAlignment w:val="auto"/>
        <w:rPr>
          <w:rFonts w:hint="eastAsia"/>
          <w:color w:val="auto"/>
          <w:highlight w:val="none"/>
        </w:rPr>
      </w:pPr>
      <w:r>
        <w:rPr>
          <w:rFonts w:hint="eastAsia" w:ascii="黑体" w:hAnsi="Times New Roman" w:eastAsia="黑体" w:cs="Times New Roman"/>
          <w:color w:val="auto"/>
          <w:sz w:val="21"/>
          <w:szCs w:val="21"/>
          <w:highlight w:val="none"/>
          <w:lang w:val="en-US" w:eastAsia="zh-CN" w:bidi="ar-SA"/>
        </w:rPr>
        <w:t>5.2.2 布置</w:t>
      </w:r>
      <w:r>
        <w:rPr>
          <w:rFonts w:hint="eastAsia" w:ascii="黑体" w:hAnsi="黑体" w:eastAsia="黑体" w:cs="黑体"/>
          <w:color w:val="auto"/>
          <w:highlight w:val="none"/>
          <w:lang w:val="en-US" w:eastAsia="zh-CN"/>
        </w:rPr>
        <w:t>要求</w:t>
      </w:r>
    </w:p>
    <w:p w14:paraId="190A7050">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lang w:eastAsia="zh-CN"/>
        </w:rPr>
      </w:pPr>
      <w:r>
        <w:rPr>
          <w:color w:val="auto"/>
          <w:highlight w:val="none"/>
        </w:rPr>
        <w:t>吸水管应具有良好的吸聚地下水流和导水能力</w:t>
      </w:r>
      <w:r>
        <w:rPr>
          <w:rFonts w:hint="eastAsia"/>
          <w:color w:val="auto"/>
          <w:highlight w:val="none"/>
          <w:lang w:eastAsia="zh-CN"/>
        </w:rPr>
        <w:t>。</w:t>
      </w:r>
    </w:p>
    <w:p w14:paraId="518A7C3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lang w:eastAsia="zh-CN"/>
        </w:rPr>
      </w:pPr>
      <w:r>
        <w:rPr>
          <w:color w:val="auto"/>
          <w:highlight w:val="none"/>
        </w:rPr>
        <w:t>集水管应能及时汇集并排泄吸水管的来水</w:t>
      </w:r>
      <w:r>
        <w:rPr>
          <w:rFonts w:hint="eastAsia"/>
          <w:color w:val="auto"/>
          <w:highlight w:val="none"/>
          <w:lang w:eastAsia="zh-CN"/>
        </w:rPr>
        <w:t>。</w:t>
      </w:r>
    </w:p>
    <w:p w14:paraId="49852E46">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color w:val="auto"/>
          <w:highlight w:val="none"/>
        </w:rPr>
      </w:pPr>
      <w:r>
        <w:rPr>
          <w:rFonts w:hint="eastAsia"/>
          <w:color w:val="auto"/>
          <w:highlight w:val="none"/>
        </w:rPr>
        <w:t>连接井、</w:t>
      </w:r>
      <w:r>
        <w:rPr>
          <w:color w:val="auto"/>
          <w:highlight w:val="none"/>
        </w:rPr>
        <w:t>检查井、集水井的设置应符合</w:t>
      </w:r>
      <w:r>
        <w:rPr>
          <w:rFonts w:hint="eastAsia"/>
          <w:color w:val="auto"/>
          <w:highlight w:val="none"/>
          <w:lang w:val="en-US" w:eastAsia="zh-CN"/>
        </w:rPr>
        <w:t>本规程的</w:t>
      </w:r>
      <w:r>
        <w:rPr>
          <w:color w:val="auto"/>
          <w:highlight w:val="none"/>
        </w:rPr>
        <w:t>相关规定</w:t>
      </w:r>
      <w:r>
        <w:rPr>
          <w:rFonts w:hint="eastAsia"/>
          <w:color w:val="auto"/>
          <w:highlight w:val="none"/>
          <w:lang w:eastAsia="zh-CN"/>
        </w:rPr>
        <w:t>。</w:t>
      </w:r>
    </w:p>
    <w:p w14:paraId="5C50687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color w:val="auto"/>
          <w:highlight w:val="none"/>
        </w:rPr>
      </w:pPr>
      <w:r>
        <w:rPr>
          <w:color w:val="auto"/>
          <w:highlight w:val="none"/>
        </w:rPr>
        <w:t>承泄区必须保证暗管出流条件的畅通，应具有稳定的排泄空间、安全的堤防和足够的承泄能力，且不对生态环境产生不利影响；承接暗管排水出口的明沟应保持排水通畅和沟坡稳定，采取必要的</w:t>
      </w:r>
      <w:r>
        <w:rPr>
          <w:rFonts w:hint="eastAsia"/>
          <w:color w:val="auto"/>
          <w:highlight w:val="none"/>
        </w:rPr>
        <w:t>防坍固坡措施</w:t>
      </w:r>
      <w:r>
        <w:rPr>
          <w:color w:val="auto"/>
          <w:highlight w:val="none"/>
        </w:rPr>
        <w:t>。</w:t>
      </w:r>
    </w:p>
    <w:p w14:paraId="73C99D28">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color w:val="auto"/>
          <w:highlight w:val="none"/>
        </w:rPr>
        <w:t>应根据</w:t>
      </w:r>
      <w:r>
        <w:rPr>
          <w:rFonts w:hint="eastAsia"/>
          <w:color w:val="auto"/>
          <w:highlight w:val="none"/>
        </w:rPr>
        <w:t>灌排</w:t>
      </w:r>
      <w:r>
        <w:rPr>
          <w:color w:val="auto"/>
          <w:highlight w:val="none"/>
        </w:rPr>
        <w:t>工程系统和排水控制要求布</w:t>
      </w:r>
      <w:r>
        <w:rPr>
          <w:rFonts w:hint="eastAsia"/>
          <w:color w:val="auto"/>
          <w:highlight w:val="none"/>
          <w:lang w:val="en-US" w:eastAsia="zh-CN"/>
        </w:rPr>
        <w:t>置</w:t>
      </w:r>
      <w:r>
        <w:rPr>
          <w:color w:val="auto"/>
          <w:highlight w:val="none"/>
        </w:rPr>
        <w:t>农田暗管排水建筑物</w:t>
      </w:r>
      <w:r>
        <w:rPr>
          <w:rFonts w:hint="eastAsia"/>
          <w:color w:val="auto"/>
          <w:highlight w:val="none"/>
        </w:rPr>
        <w:t>，避免</w:t>
      </w:r>
      <w:r>
        <w:rPr>
          <w:color w:val="auto"/>
          <w:highlight w:val="none"/>
        </w:rPr>
        <w:t>与</w:t>
      </w:r>
      <w:r>
        <w:rPr>
          <w:rFonts w:hint="eastAsia"/>
          <w:color w:val="auto"/>
          <w:highlight w:val="none"/>
          <w:lang w:val="en-US" w:eastAsia="zh-CN"/>
        </w:rPr>
        <w:t>灌溉</w:t>
      </w:r>
      <w:r>
        <w:rPr>
          <w:color w:val="auto"/>
          <w:highlight w:val="none"/>
        </w:rPr>
        <w:t>建筑物、农业生产、交通与通讯设施以及其他建筑物发生相互干扰或</w:t>
      </w:r>
      <w:r>
        <w:rPr>
          <w:rFonts w:hint="eastAsia"/>
          <w:color w:val="auto"/>
          <w:highlight w:val="none"/>
        </w:rPr>
        <w:t>布设</w:t>
      </w:r>
      <w:r>
        <w:rPr>
          <w:color w:val="auto"/>
          <w:highlight w:val="none"/>
        </w:rPr>
        <w:t>纠纷。</w:t>
      </w:r>
    </w:p>
    <w:p w14:paraId="5050BA4E">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textAlignment w:val="auto"/>
        <w:rPr>
          <w:rFonts w:hint="eastAsia"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5.2.3 吸水</w:t>
      </w:r>
      <w:r>
        <w:rPr>
          <w:rFonts w:hint="eastAsia" w:ascii="黑体" w:hAnsi="黑体" w:eastAsia="黑体" w:cs="黑体"/>
          <w:color w:val="auto"/>
          <w:highlight w:val="none"/>
          <w:lang w:val="en-US" w:eastAsia="zh-CN"/>
        </w:rPr>
        <w:t>管布置</w:t>
      </w:r>
    </w:p>
    <w:p w14:paraId="52E0C20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color w:val="auto"/>
          <w:highlight w:val="none"/>
        </w:rPr>
        <w:t>吸水管的平面布置宜保持管线相互平行</w:t>
      </w:r>
      <w:r>
        <w:rPr>
          <w:rFonts w:hint="eastAsia"/>
          <w:color w:val="auto"/>
          <w:highlight w:val="none"/>
        </w:rPr>
        <w:t>，并兼顾</w:t>
      </w:r>
      <w:r>
        <w:rPr>
          <w:color w:val="auto"/>
          <w:highlight w:val="none"/>
        </w:rPr>
        <w:t>田块间的高程和作物种植情况；</w:t>
      </w:r>
      <w:r>
        <w:rPr>
          <w:rFonts w:hint="eastAsia"/>
          <w:color w:val="auto"/>
          <w:highlight w:val="none"/>
        </w:rPr>
        <w:t>当田块间高程相同或坡度一致，且种植作物的地下水临界埋深相近时，可以在田块间统一布置。</w:t>
      </w:r>
    </w:p>
    <w:p w14:paraId="05D020F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sz w:val="18"/>
          <w:szCs w:val="18"/>
          <w:highlight w:val="none"/>
        </w:rPr>
      </w:pPr>
      <w:r>
        <w:rPr>
          <w:color w:val="auto"/>
          <w:highlight w:val="none"/>
        </w:rPr>
        <w:t>吸水管的起始端距灌溉渠道</w:t>
      </w:r>
      <w:r>
        <w:rPr>
          <w:rFonts w:hint="eastAsia"/>
          <w:color w:val="auto"/>
          <w:highlight w:val="none"/>
        </w:rPr>
        <w:t>的距离</w:t>
      </w:r>
      <w:r>
        <w:rPr>
          <w:color w:val="auto"/>
          <w:highlight w:val="none"/>
        </w:rPr>
        <w:t>不宜小于3</w:t>
      </w:r>
      <w:r>
        <w:rPr>
          <w:rFonts w:hint="eastAsia"/>
          <w:color w:val="auto"/>
          <w:highlight w:val="none"/>
        </w:rPr>
        <w:t xml:space="preserve"> </w:t>
      </w:r>
      <w:r>
        <w:rPr>
          <w:color w:val="auto"/>
          <w:highlight w:val="none"/>
        </w:rPr>
        <w:t>m</w:t>
      </w:r>
      <w:r>
        <w:rPr>
          <w:rFonts w:hint="eastAsia"/>
          <w:color w:val="auto"/>
          <w:highlight w:val="none"/>
        </w:rPr>
        <w:t>，且不宜穿越灌溉渠道；特殊情况下必须穿越时，穿越部分应做成非透水管段或外套刚性护管，其两端距灌溉渠道的距离不宜小于3 m。</w:t>
      </w:r>
    </w:p>
    <w:p w14:paraId="08833B7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textAlignment w:val="auto"/>
        <w:rPr>
          <w:rFonts w:hint="eastAsia"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5.2.4 集</w:t>
      </w:r>
      <w:r>
        <w:rPr>
          <w:rFonts w:hint="eastAsia" w:ascii="黑体" w:hAnsi="黑体" w:eastAsia="黑体" w:cs="黑体"/>
          <w:color w:val="auto"/>
          <w:highlight w:val="none"/>
          <w:lang w:val="en-US" w:eastAsia="zh-CN"/>
        </w:rPr>
        <w:t>水管布置</w:t>
      </w:r>
    </w:p>
    <w:p w14:paraId="288D706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sz w:val="18"/>
          <w:szCs w:val="18"/>
          <w:highlight w:val="none"/>
        </w:rPr>
      </w:pPr>
      <w:r>
        <w:rPr>
          <w:color w:val="auto"/>
          <w:highlight w:val="none"/>
        </w:rPr>
        <w:t>集水管应能及时汇集并排泄吸水管的来水</w:t>
      </w:r>
      <w:r>
        <w:rPr>
          <w:rFonts w:hint="eastAsia"/>
          <w:color w:val="auto"/>
          <w:highlight w:val="none"/>
          <w:lang w:eastAsia="zh-CN"/>
        </w:rPr>
        <w:t>，</w:t>
      </w:r>
      <w:r>
        <w:rPr>
          <w:color w:val="auto"/>
          <w:highlight w:val="none"/>
        </w:rPr>
        <w:t>一般应避免穿越大型沟渠和道路，特殊情况下必须穿越大型沟渠和道路</w:t>
      </w:r>
      <w:r>
        <w:rPr>
          <w:rFonts w:hint="eastAsia"/>
          <w:color w:val="auto"/>
          <w:highlight w:val="none"/>
        </w:rPr>
        <w:t>时</w:t>
      </w:r>
      <w:r>
        <w:rPr>
          <w:color w:val="auto"/>
          <w:highlight w:val="none"/>
        </w:rPr>
        <w:t>，则应在其两侧设置检查井。</w:t>
      </w:r>
    </w:p>
    <w:p w14:paraId="30613BE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textAlignment w:val="auto"/>
        <w:rPr>
          <w:rFonts w:hint="eastAsia"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5.2.5 配套</w:t>
      </w:r>
      <w:r>
        <w:rPr>
          <w:rFonts w:hint="eastAsia" w:ascii="黑体" w:hAnsi="黑体" w:eastAsia="黑体" w:cs="黑体"/>
          <w:color w:val="auto"/>
          <w:highlight w:val="none"/>
          <w:lang w:val="en-US" w:eastAsia="zh-CN"/>
        </w:rPr>
        <w:t>建筑物布置</w:t>
      </w:r>
    </w:p>
    <w:p w14:paraId="073A0DBE">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sz w:val="18"/>
          <w:szCs w:val="18"/>
          <w:highlight w:val="none"/>
        </w:rPr>
      </w:pPr>
      <w:r>
        <w:rPr>
          <w:color w:val="auto"/>
          <w:highlight w:val="none"/>
        </w:rPr>
        <w:t>暗管排水工程配套建筑物的布设应满足</w:t>
      </w:r>
      <w:r>
        <w:rPr>
          <w:rFonts w:hint="eastAsia"/>
          <w:color w:val="auto"/>
          <w:highlight w:val="none"/>
        </w:rPr>
        <w:t>：（1）吸水管沿线每隔300m布置一个连接井，并在集水管纵坡变化处或集水管与吸水管连接处设置检查井</w:t>
      </w:r>
      <w:r>
        <w:rPr>
          <w:color w:val="auto"/>
          <w:highlight w:val="none"/>
        </w:rPr>
        <w:t>；（</w:t>
      </w:r>
      <w:r>
        <w:rPr>
          <w:rFonts w:hint="eastAsia"/>
          <w:color w:val="auto"/>
          <w:highlight w:val="none"/>
        </w:rPr>
        <w:t>3）</w:t>
      </w:r>
      <w:r>
        <w:rPr>
          <w:color w:val="auto"/>
          <w:highlight w:val="none"/>
        </w:rPr>
        <w:t>当暗管排水出口无法自流排水时，宜修建集水井及抽排泵站进行强排</w:t>
      </w:r>
      <w:r>
        <w:rPr>
          <w:rFonts w:hint="eastAsia"/>
          <w:color w:val="auto"/>
          <w:highlight w:val="none"/>
        </w:rPr>
        <w:t>；（4）</w:t>
      </w:r>
      <w:r>
        <w:rPr>
          <w:color w:val="auto"/>
          <w:highlight w:val="none"/>
        </w:rPr>
        <w:t>暗管排水入明沟</w:t>
      </w:r>
      <w:r>
        <w:rPr>
          <w:rFonts w:hint="eastAsia"/>
          <w:color w:val="auto"/>
          <w:highlight w:val="none"/>
        </w:rPr>
        <w:t>或排入其他承泄区的暗管出口，应根据具体条件，修建专门暗管出口建筑物；（5）水稻田与</w:t>
      </w:r>
      <w:r>
        <w:rPr>
          <w:color w:val="auto"/>
          <w:highlight w:val="none"/>
        </w:rPr>
        <w:t>旱</w:t>
      </w:r>
      <w:r>
        <w:rPr>
          <w:rFonts w:hint="eastAsia"/>
          <w:color w:val="auto"/>
          <w:highlight w:val="none"/>
        </w:rPr>
        <w:t>田</w:t>
      </w:r>
      <w:r>
        <w:rPr>
          <w:color w:val="auto"/>
          <w:highlight w:val="none"/>
        </w:rPr>
        <w:t>轮作地区，可以在排水管出口设置控制设施</w:t>
      </w:r>
      <w:r>
        <w:rPr>
          <w:rFonts w:hint="eastAsia"/>
          <w:color w:val="auto"/>
          <w:highlight w:val="none"/>
        </w:rPr>
        <w:t>，调控田面水入渗速度、地下水渗流及临界埋深；（6）</w:t>
      </w:r>
      <w:r>
        <w:rPr>
          <w:color w:val="auto"/>
          <w:highlight w:val="none"/>
        </w:rPr>
        <w:t>在高附加值经济作物或精细作物的暗管排水项目区，可以采用与微灌技术相配套的新型轻质材料</w:t>
      </w:r>
      <w:r>
        <w:rPr>
          <w:rFonts w:hint="eastAsia"/>
          <w:color w:val="auto"/>
          <w:highlight w:val="none"/>
        </w:rPr>
        <w:t>，</w:t>
      </w:r>
      <w:r>
        <w:rPr>
          <w:color w:val="auto"/>
          <w:highlight w:val="none"/>
        </w:rPr>
        <w:t>制作连接井或检查井。</w:t>
      </w:r>
    </w:p>
    <w:p w14:paraId="06D4666E">
      <w:pPr>
        <w:pStyle w:val="71"/>
        <w:keepNext w:val="0"/>
        <w:keepLines w:val="0"/>
        <w:pageBreakBefore w:val="0"/>
        <w:widowControl/>
        <w:kinsoku/>
        <w:wordWrap/>
        <w:overflowPunct/>
        <w:topLinePunct w:val="0"/>
        <w:autoSpaceDE/>
        <w:autoSpaceDN/>
        <w:bidi w:val="0"/>
        <w:adjustRightInd/>
        <w:snapToGrid/>
        <w:textAlignment w:val="auto"/>
        <w:rPr>
          <w:color w:val="auto"/>
          <w:highlight w:val="none"/>
        </w:rPr>
      </w:pPr>
      <w:bookmarkStart w:id="231" w:name="_Toc14976"/>
      <w:bookmarkStart w:id="232" w:name="_Toc520823466"/>
      <w:bookmarkStart w:id="233" w:name="_Toc520709297"/>
      <w:bookmarkStart w:id="234" w:name="_Toc522140494"/>
      <w:bookmarkStart w:id="235" w:name="_Toc299889764"/>
      <w:bookmarkStart w:id="236" w:name="_Toc12574"/>
      <w:r>
        <w:rPr>
          <w:rFonts w:hint="eastAsia"/>
          <w:color w:val="auto"/>
          <w:highlight w:val="none"/>
        </w:rPr>
        <w:t>引黄灌区暗管排水工程的规划布置</w:t>
      </w:r>
      <w:bookmarkEnd w:id="223"/>
      <w:bookmarkEnd w:id="224"/>
      <w:bookmarkEnd w:id="225"/>
      <w:bookmarkEnd w:id="226"/>
      <w:bookmarkEnd w:id="231"/>
      <w:bookmarkEnd w:id="232"/>
      <w:bookmarkEnd w:id="233"/>
      <w:bookmarkEnd w:id="234"/>
      <w:bookmarkEnd w:id="235"/>
      <w:bookmarkEnd w:id="236"/>
    </w:p>
    <w:p w14:paraId="7932ACA3">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leftChars="0"/>
        <w:textAlignment w:val="auto"/>
        <w:rPr>
          <w:rFonts w:hint="default"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5.3.1基</w:t>
      </w:r>
      <w:r>
        <w:rPr>
          <w:rFonts w:hint="eastAsia" w:ascii="黑体" w:hAnsi="黑体" w:eastAsia="黑体" w:cs="黑体"/>
          <w:color w:val="auto"/>
          <w:highlight w:val="none"/>
          <w:lang w:val="en-US" w:eastAsia="zh-CN"/>
        </w:rPr>
        <w:t>本要求</w:t>
      </w:r>
    </w:p>
    <w:p w14:paraId="7A230E1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s="Times New Roman"/>
          <w:color w:val="auto"/>
          <w:highlight w:val="none"/>
        </w:rPr>
      </w:pPr>
      <w:r>
        <w:rPr>
          <w:rFonts w:hint="eastAsia" w:cs="Times New Roman"/>
          <w:color w:val="auto"/>
          <w:highlight w:val="none"/>
        </w:rPr>
        <w:t>引黄灌区应充分考虑地形坡向、土壤和水文地质条件，在排涝和调控地下水位的骨干排水</w:t>
      </w:r>
      <w:r>
        <w:rPr>
          <w:rFonts w:hint="eastAsia" w:cs="Times New Roman"/>
          <w:color w:val="auto"/>
          <w:highlight w:val="none"/>
          <w:lang w:val="en-US" w:eastAsia="zh-CN"/>
        </w:rPr>
        <w:t>体系</w:t>
      </w:r>
      <w:r>
        <w:rPr>
          <w:rFonts w:hint="eastAsia" w:cs="Times New Roman"/>
          <w:color w:val="auto"/>
          <w:highlight w:val="none"/>
        </w:rPr>
        <w:t>下，规划布置农田暗管排水系统。</w:t>
      </w:r>
    </w:p>
    <w:p w14:paraId="291BD94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s="Times New Roman"/>
          <w:color w:val="auto"/>
          <w:highlight w:val="none"/>
          <w:lang w:eastAsia="zh-CN"/>
        </w:rPr>
      </w:pPr>
      <w:r>
        <w:rPr>
          <w:rFonts w:hint="eastAsia" w:cs="Times New Roman"/>
          <w:color w:val="auto"/>
          <w:highlight w:val="none"/>
        </w:rPr>
        <w:t>在涝碱共存地区，可采用田间暗管与明沟、竖井等骨干排水工程相配套的排水措施</w:t>
      </w:r>
      <w:r>
        <w:rPr>
          <w:rFonts w:hint="eastAsia" w:cs="Times New Roman"/>
          <w:color w:val="auto"/>
          <w:highlight w:val="none"/>
          <w:lang w:eastAsia="zh-CN"/>
        </w:rPr>
        <w:t>。</w:t>
      </w:r>
    </w:p>
    <w:p w14:paraId="3A10C7E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cs="Times New Roman"/>
          <w:color w:val="auto"/>
          <w:highlight w:val="none"/>
        </w:rPr>
      </w:pPr>
      <w:r>
        <w:rPr>
          <w:rFonts w:hint="eastAsia" w:cs="Times New Roman"/>
          <w:color w:val="auto"/>
          <w:highlight w:val="none"/>
        </w:rPr>
        <w:t>在涝渍共存地区，可采用田间暗管与明沟相配套的排水措施。</w:t>
      </w:r>
    </w:p>
    <w:p w14:paraId="510313CC">
      <w:pPr>
        <w:pStyle w:val="117"/>
        <w:keepNext w:val="0"/>
        <w:keepLines w:val="0"/>
        <w:pageBreakBefore w:val="0"/>
        <w:widowControl/>
        <w:numPr>
          <w:ilvl w:val="2"/>
          <w:numId w:val="0"/>
        </w:numPr>
        <w:kinsoku/>
        <w:wordWrap/>
        <w:overflowPunct/>
        <w:topLinePunct w:val="0"/>
        <w:autoSpaceDE/>
        <w:autoSpaceDN/>
        <w:bidi w:val="0"/>
        <w:adjustRightInd w:val="0"/>
        <w:snapToGrid w:val="0"/>
        <w:spacing w:before="0" w:beforeLines="0" w:after="0" w:afterLines="0" w:line="240" w:lineRule="auto"/>
        <w:ind w:leftChars="0"/>
        <w:textAlignment w:val="auto"/>
        <w:rPr>
          <w:rFonts w:hint="eastAsia" w:ascii="黑体" w:hAnsi="黑体" w:eastAsia="黑体" w:cs="黑体"/>
          <w:color w:val="auto"/>
          <w:highlight w:val="none"/>
          <w:lang w:val="en-US" w:eastAsia="zh-CN"/>
        </w:rPr>
      </w:pPr>
      <w:bookmarkStart w:id="237" w:name="OLE_LINK1"/>
      <w:r>
        <w:rPr>
          <w:rFonts w:hint="eastAsia" w:ascii="黑体" w:hAnsi="Times New Roman" w:eastAsia="黑体" w:cs="Times New Roman"/>
          <w:color w:val="auto"/>
          <w:sz w:val="21"/>
          <w:szCs w:val="21"/>
          <w:highlight w:val="none"/>
          <w:lang w:val="en-US" w:eastAsia="zh-CN" w:bidi="ar-SA"/>
        </w:rPr>
        <w:t>5.3.2 吸</w:t>
      </w:r>
      <w:r>
        <w:rPr>
          <w:rFonts w:hint="eastAsia" w:ascii="黑体" w:hAnsi="黑体" w:eastAsia="黑体" w:cs="黑体"/>
          <w:color w:val="auto"/>
          <w:highlight w:val="none"/>
          <w:lang w:val="en-US" w:eastAsia="zh-CN"/>
        </w:rPr>
        <w:t>水管布置</w:t>
      </w:r>
    </w:p>
    <w:p w14:paraId="1B808D0C">
      <w:pPr>
        <w:pStyle w:val="117"/>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0" w:afterLines="0" w:line="240" w:lineRule="auto"/>
        <w:ind w:leftChars="0" w:firstLine="420" w:firstLineChars="200"/>
        <w:textAlignment w:val="auto"/>
        <w:rPr>
          <w:rFonts w:hint="eastAsia" w:cs="Times New Roman"/>
          <w:color w:val="auto"/>
          <w:highlight w:val="none"/>
        </w:rPr>
      </w:pPr>
      <w:r>
        <w:rPr>
          <w:rFonts w:hint="eastAsia" w:cs="Times New Roman"/>
          <w:color w:val="auto"/>
          <w:highlight w:val="none"/>
          <w:lang w:val="en-US" w:eastAsia="zh-CN"/>
        </w:rPr>
        <w:t>吸水管</w:t>
      </w:r>
      <w:r>
        <w:rPr>
          <w:rFonts w:hint="eastAsia" w:cs="Times New Roman"/>
          <w:color w:val="auto"/>
          <w:highlight w:val="none"/>
        </w:rPr>
        <w:t>应满足等间距布设，与地下水流向正交或沿水流方向呈较大夹角形式布置。</w:t>
      </w:r>
    </w:p>
    <w:bookmarkEnd w:id="237"/>
    <w:p w14:paraId="39784334">
      <w:pPr>
        <w:pStyle w:val="117"/>
        <w:keepNext w:val="0"/>
        <w:keepLines w:val="0"/>
        <w:pageBreakBefore w:val="0"/>
        <w:numPr>
          <w:ilvl w:val="0"/>
          <w:numId w:val="0"/>
        </w:numPr>
        <w:kinsoku/>
        <w:wordWrap/>
        <w:overflowPunct/>
        <w:topLinePunct w:val="0"/>
        <w:autoSpaceDE/>
        <w:autoSpaceDN/>
        <w:bidi w:val="0"/>
        <w:adjustRightInd w:val="0"/>
        <w:snapToGrid w:val="0"/>
        <w:spacing w:before="0" w:beforeLines="0" w:after="0" w:afterLines="0" w:line="240" w:lineRule="auto"/>
        <w:ind w:leftChars="0" w:firstLine="420" w:firstLineChars="200"/>
        <w:textAlignment w:val="auto"/>
        <w:rPr>
          <w:color w:val="auto"/>
          <w:highlight w:val="none"/>
        </w:rPr>
      </w:pPr>
      <w:r>
        <w:rPr>
          <w:rFonts w:hint="eastAsia"/>
          <w:color w:val="auto"/>
          <w:highlight w:val="none"/>
        </w:rPr>
        <w:t>吸水管</w:t>
      </w:r>
      <w:r>
        <w:rPr>
          <w:rFonts w:hint="eastAsia"/>
          <w:color w:val="auto"/>
          <w:highlight w:val="none"/>
          <w:lang w:eastAsia="zh-CN"/>
        </w:rPr>
        <w:t>排水口</w:t>
      </w:r>
      <w:r>
        <w:rPr>
          <w:rFonts w:hint="eastAsia"/>
          <w:color w:val="auto"/>
          <w:highlight w:val="none"/>
        </w:rPr>
        <w:t>直接入排水沟时，吸水管宜采用正交或锐角斜交方式布置在排水沟一侧。</w:t>
      </w:r>
    </w:p>
    <w:p w14:paraId="5A564269">
      <w:pPr>
        <w:pStyle w:val="117"/>
        <w:keepNext w:val="0"/>
        <w:keepLines w:val="0"/>
        <w:pageBreakBefore w:val="0"/>
        <w:numPr>
          <w:ilvl w:val="2"/>
          <w:numId w:val="0"/>
        </w:numPr>
        <w:kinsoku/>
        <w:wordWrap/>
        <w:overflowPunct/>
        <w:topLinePunct w:val="0"/>
        <w:autoSpaceDE/>
        <w:autoSpaceDN/>
        <w:bidi w:val="0"/>
        <w:adjustRightInd w:val="0"/>
        <w:snapToGrid w:val="0"/>
        <w:spacing w:before="0" w:beforeLines="0" w:after="0" w:afterLines="0" w:line="240" w:lineRule="auto"/>
        <w:ind w:leftChars="0" w:firstLine="420" w:firstLineChars="200"/>
        <w:textAlignment w:val="auto"/>
        <w:rPr>
          <w:color w:val="auto"/>
          <w:highlight w:val="none"/>
        </w:rPr>
      </w:pPr>
      <w:r>
        <w:rPr>
          <w:rFonts w:hint="eastAsia"/>
          <w:color w:val="auto"/>
          <w:highlight w:val="none"/>
        </w:rPr>
        <w:t>吸水管与集水管一般呈正交或锐角斜交方式连接，在条件允许情况下，宜在集水管两侧布置吸水管。</w:t>
      </w:r>
    </w:p>
    <w:p w14:paraId="7A3F6A1A">
      <w:pPr>
        <w:keepNext w:val="0"/>
        <w:keepLines w:val="0"/>
        <w:pageBreakBefore w:val="0"/>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ascii="宋体" w:hAnsi="宋体"/>
          <w:color w:val="auto"/>
          <w:kern w:val="0"/>
          <w:szCs w:val="21"/>
          <w:highlight w:val="none"/>
        </w:rPr>
      </w:pPr>
      <w:r>
        <w:rPr>
          <w:rFonts w:hint="eastAsia" w:ascii="宋体" w:hAnsi="宋体"/>
          <w:color w:val="auto"/>
          <w:kern w:val="0"/>
          <w:szCs w:val="21"/>
          <w:highlight w:val="none"/>
        </w:rPr>
        <w:t>对于黏性土或夹层分布区域，应增设明沟或其他排水形式，</w:t>
      </w:r>
      <w:r>
        <w:rPr>
          <w:rFonts w:hint="default" w:ascii="Times New Roman" w:hAnsi="Times New Roman" w:cs="Times New Roman"/>
          <w:color w:val="auto"/>
          <w:kern w:val="0"/>
          <w:szCs w:val="21"/>
          <w:highlight w:val="none"/>
        </w:rPr>
        <w:t>结合40~60cm</w:t>
      </w:r>
      <w:r>
        <w:rPr>
          <w:rFonts w:hint="eastAsia" w:ascii="宋体" w:hAnsi="宋体"/>
          <w:color w:val="auto"/>
          <w:kern w:val="0"/>
          <w:szCs w:val="21"/>
          <w:highlight w:val="none"/>
        </w:rPr>
        <w:t>深耕作业打破障碍层，改善排水条件。</w:t>
      </w:r>
    </w:p>
    <w:p w14:paraId="15A3E561">
      <w:pPr>
        <w:pStyle w:val="117"/>
        <w:keepNext w:val="0"/>
        <w:keepLines w:val="0"/>
        <w:pageBreakBefore w:val="0"/>
        <w:widowControl/>
        <w:numPr>
          <w:ilvl w:val="2"/>
          <w:numId w:val="0"/>
        </w:numPr>
        <w:kinsoku/>
        <w:wordWrap/>
        <w:overflowPunct/>
        <w:topLinePunct w:val="0"/>
        <w:autoSpaceDE/>
        <w:autoSpaceDN/>
        <w:bidi w:val="0"/>
        <w:adjustRightInd w:val="0"/>
        <w:snapToGrid w:val="0"/>
        <w:spacing w:before="0" w:beforeLines="0" w:after="0" w:afterLines="0" w:line="240" w:lineRule="auto"/>
        <w:ind w:leftChars="0"/>
        <w:textAlignment w:val="auto"/>
        <w:rPr>
          <w:rFonts w:hint="eastAsia"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5.3.3 集</w:t>
      </w:r>
      <w:r>
        <w:rPr>
          <w:rFonts w:hint="eastAsia" w:ascii="黑体" w:hAnsi="黑体" w:eastAsia="黑体" w:cs="黑体"/>
          <w:color w:val="auto"/>
          <w:highlight w:val="none"/>
          <w:lang w:val="en-US" w:eastAsia="zh-CN"/>
        </w:rPr>
        <w:t>水管及其他配套建筑物布置</w:t>
      </w:r>
    </w:p>
    <w:p w14:paraId="42683CFA">
      <w:pPr>
        <w:pStyle w:val="117"/>
        <w:keepNext w:val="0"/>
        <w:keepLines w:val="0"/>
        <w:pageBreakBefore w:val="0"/>
        <w:widowControl/>
        <w:numPr>
          <w:ilvl w:val="0"/>
          <w:numId w:val="0"/>
        </w:numPr>
        <w:kinsoku/>
        <w:wordWrap/>
        <w:overflowPunct/>
        <w:topLinePunct w:val="0"/>
        <w:autoSpaceDE/>
        <w:autoSpaceDN/>
        <w:bidi w:val="0"/>
        <w:adjustRightInd w:val="0"/>
        <w:snapToGrid w:val="0"/>
        <w:spacing w:before="0" w:beforeLines="0" w:after="0" w:afterLines="0" w:line="240" w:lineRule="auto"/>
        <w:ind w:leftChars="0" w:firstLine="420" w:firstLineChars="200"/>
        <w:textAlignment w:val="auto"/>
        <w:rPr>
          <w:rFonts w:hint="default" w:cs="Times New Roman"/>
          <w:color w:val="auto"/>
          <w:highlight w:val="none"/>
          <w:lang w:val="en-US" w:eastAsia="zh-CN"/>
        </w:rPr>
      </w:pPr>
      <w:r>
        <w:rPr>
          <w:rFonts w:hint="eastAsia" w:cs="Times New Roman"/>
          <w:color w:val="auto"/>
          <w:highlight w:val="none"/>
          <w:lang w:val="en-US" w:eastAsia="zh-CN"/>
        </w:rPr>
        <w:t>集水管及其他配套建筑物的布置应满足本规程5.2相关条款的规定。</w:t>
      </w:r>
    </w:p>
    <w:p w14:paraId="116705B6">
      <w:pPr>
        <w:pStyle w:val="71"/>
        <w:rPr>
          <w:rFonts w:hint="eastAsia"/>
          <w:color w:val="auto"/>
          <w:highlight w:val="none"/>
        </w:rPr>
      </w:pPr>
      <w:bookmarkStart w:id="238" w:name="_Toc17848"/>
      <w:bookmarkStart w:id="239" w:name="_Toc299889765"/>
      <w:bookmarkStart w:id="240" w:name="_Toc520823467"/>
      <w:bookmarkStart w:id="241" w:name="_Toc520709298"/>
      <w:bookmarkStart w:id="242" w:name="_Toc29018"/>
      <w:bookmarkStart w:id="243" w:name="_Toc522140495"/>
      <w:r>
        <w:rPr>
          <w:rFonts w:hint="eastAsia"/>
          <w:color w:val="auto"/>
          <w:highlight w:val="none"/>
        </w:rPr>
        <w:t>盐渍化灌区暗管排水工程的规划布置</w:t>
      </w:r>
      <w:bookmarkEnd w:id="238"/>
      <w:bookmarkEnd w:id="239"/>
      <w:bookmarkEnd w:id="240"/>
      <w:bookmarkEnd w:id="241"/>
      <w:bookmarkEnd w:id="242"/>
      <w:bookmarkEnd w:id="243"/>
    </w:p>
    <w:p w14:paraId="1C2250F2">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leftChars="0"/>
        <w:textAlignment w:val="auto"/>
        <w:rPr>
          <w:rFonts w:hint="eastAsia"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5.4.1 基</w:t>
      </w:r>
      <w:r>
        <w:rPr>
          <w:rFonts w:hint="eastAsia" w:ascii="黑体" w:hAnsi="黑体" w:eastAsia="黑体" w:cs="黑体"/>
          <w:color w:val="auto"/>
          <w:highlight w:val="none"/>
          <w:lang w:val="en-US" w:eastAsia="zh-CN"/>
        </w:rPr>
        <w:t>本要求</w:t>
      </w:r>
    </w:p>
    <w:p w14:paraId="1171BB0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rFonts w:hint="eastAsia"/>
          <w:color w:val="auto"/>
          <w:highlight w:val="none"/>
        </w:rPr>
        <w:t>盐渍土地区应依据</w:t>
      </w:r>
      <w:r>
        <w:rPr>
          <w:rFonts w:hint="eastAsia"/>
          <w:color w:val="auto"/>
          <w:highlight w:val="none"/>
          <w:lang w:val="en-US" w:eastAsia="zh-CN"/>
        </w:rPr>
        <w:t>土壤</w:t>
      </w:r>
      <w:r>
        <w:rPr>
          <w:rFonts w:hint="eastAsia"/>
          <w:color w:val="auto"/>
          <w:highlight w:val="none"/>
        </w:rPr>
        <w:t>盐渍化程度、地形地貌、水文土壤特性和现有</w:t>
      </w:r>
      <w:r>
        <w:rPr>
          <w:rFonts w:hint="eastAsia"/>
          <w:color w:val="auto"/>
          <w:highlight w:val="none"/>
          <w:lang w:val="en-US" w:eastAsia="zh-CN"/>
        </w:rPr>
        <w:t>水利</w:t>
      </w:r>
      <w:r>
        <w:rPr>
          <w:rFonts w:hint="eastAsia"/>
          <w:color w:val="auto"/>
          <w:highlight w:val="none"/>
        </w:rPr>
        <w:t>设施条件，统一规划灌排系统，采用冲洗改良和暗管排水技术，</w:t>
      </w:r>
      <w:r>
        <w:rPr>
          <w:rFonts w:hint="eastAsia"/>
          <w:color w:val="auto"/>
          <w:highlight w:val="none"/>
          <w:lang w:val="en-US" w:eastAsia="zh-CN"/>
        </w:rPr>
        <w:t>并</w:t>
      </w:r>
      <w:r>
        <w:rPr>
          <w:rFonts w:hint="eastAsia"/>
          <w:color w:val="auto"/>
          <w:highlight w:val="none"/>
        </w:rPr>
        <w:t>结合农业、生物等措施综合治理盐碱地。</w:t>
      </w:r>
    </w:p>
    <w:p w14:paraId="2467851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color w:val="auto"/>
          <w:highlight w:val="none"/>
        </w:rPr>
      </w:pPr>
      <w:r>
        <w:rPr>
          <w:rFonts w:hint="eastAsia"/>
          <w:color w:val="auto"/>
          <w:highlight w:val="none"/>
        </w:rPr>
        <w:t>遵循因地制宜原则，考虑环境保护和涝、渍、盐碱综合治理的要求，确定暗管排水改良盐碱地的任务与标准。</w:t>
      </w:r>
    </w:p>
    <w:p w14:paraId="28A9605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default" w:eastAsia="宋体"/>
          <w:color w:val="auto"/>
          <w:highlight w:val="none"/>
          <w:lang w:val="en-US" w:eastAsia="zh-CN"/>
        </w:rPr>
      </w:pPr>
      <w:r>
        <w:rPr>
          <w:rFonts w:hint="eastAsia"/>
          <w:color w:val="auto"/>
          <w:highlight w:val="none"/>
          <w:lang w:val="en-US" w:eastAsia="zh-CN"/>
        </w:rPr>
        <w:t>治理指标应满足：</w:t>
      </w:r>
      <w:r>
        <w:rPr>
          <w:rFonts w:hint="eastAsia"/>
          <w:color w:val="auto"/>
          <w:highlight w:val="none"/>
        </w:rPr>
        <w:t>（1）土壤含盐量不高于作物的耐盐阈值；（2）土壤改良深度不低于作物正常生长根系主要分布土层深度。</w:t>
      </w:r>
    </w:p>
    <w:p w14:paraId="56CF698D">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leftChars="0"/>
        <w:textAlignment w:val="auto"/>
        <w:rPr>
          <w:rFonts w:hint="default"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5.4.2 暗</w:t>
      </w:r>
      <w:r>
        <w:rPr>
          <w:rFonts w:hint="eastAsia" w:ascii="黑体" w:hAnsi="黑体" w:eastAsia="黑体" w:cs="黑体"/>
          <w:color w:val="auto"/>
          <w:highlight w:val="none"/>
          <w:lang w:val="en-US" w:eastAsia="zh-CN"/>
        </w:rPr>
        <w:t>管排水工程布置</w:t>
      </w:r>
    </w:p>
    <w:p w14:paraId="5EEF144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eastAsia="宋体"/>
          <w:color w:val="auto"/>
          <w:highlight w:val="none"/>
          <w:lang w:val="en-US" w:eastAsia="zh-CN"/>
        </w:rPr>
      </w:pPr>
      <w:r>
        <w:rPr>
          <w:rFonts w:hint="eastAsia"/>
          <w:color w:val="auto"/>
          <w:highlight w:val="none"/>
        </w:rPr>
        <w:t>应根据改碱规模、改碱要求、地形、土质、管材、滤料、组合排水方案和施工条件等因素确定暗管排水系统的组成、分级</w:t>
      </w:r>
      <w:r>
        <w:rPr>
          <w:rFonts w:hint="eastAsia"/>
          <w:color w:val="auto"/>
          <w:highlight w:val="none"/>
          <w:lang w:val="en-US" w:eastAsia="zh-CN"/>
        </w:rPr>
        <w:t>以及</w:t>
      </w:r>
      <w:r>
        <w:rPr>
          <w:rFonts w:hint="eastAsia"/>
          <w:color w:val="auto"/>
          <w:highlight w:val="none"/>
        </w:rPr>
        <w:t>管道的类型</w:t>
      </w:r>
      <w:r>
        <w:rPr>
          <w:rFonts w:hint="eastAsia"/>
          <w:color w:val="auto"/>
          <w:highlight w:val="none"/>
          <w:lang w:val="en-US" w:eastAsia="zh-CN"/>
        </w:rPr>
        <w:t>与</w:t>
      </w:r>
      <w:r>
        <w:rPr>
          <w:rFonts w:hint="eastAsia"/>
          <w:color w:val="auto"/>
          <w:highlight w:val="none"/>
        </w:rPr>
        <w:t>规格</w:t>
      </w:r>
      <w:r>
        <w:rPr>
          <w:rFonts w:hint="eastAsia"/>
          <w:color w:val="auto"/>
          <w:highlight w:val="none"/>
          <w:lang w:eastAsia="zh-CN"/>
        </w:rPr>
        <w:t>。</w:t>
      </w:r>
    </w:p>
    <w:p w14:paraId="40A9E66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rFonts w:hint="eastAsia"/>
          <w:color w:val="auto"/>
          <w:highlight w:val="none"/>
          <w:lang w:val="en-US" w:eastAsia="zh-CN"/>
        </w:rPr>
        <w:t>应</w:t>
      </w:r>
      <w:r>
        <w:rPr>
          <w:rFonts w:hint="eastAsia"/>
          <w:color w:val="auto"/>
          <w:highlight w:val="none"/>
        </w:rPr>
        <w:t>采用田间试验法确定田间吸水管的间距、长度与埋深。</w:t>
      </w:r>
    </w:p>
    <w:p w14:paraId="7C84878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rFonts w:hint="eastAsia"/>
          <w:color w:val="auto"/>
          <w:highlight w:val="none"/>
        </w:rPr>
        <w:t>土质条件复杂地区采用暗管排水治理渍害时，可在田间增设临时性的浅明沟、</w:t>
      </w:r>
      <w:r>
        <w:rPr>
          <w:rFonts w:hint="eastAsia" w:cs="Times New Roman"/>
          <w:color w:val="auto"/>
          <w:highlight w:val="none"/>
        </w:rPr>
        <w:t>鼠道或线缝</w:t>
      </w:r>
      <w:r>
        <w:rPr>
          <w:rFonts w:hint="eastAsia"/>
          <w:color w:val="auto"/>
          <w:highlight w:val="none"/>
        </w:rPr>
        <w:t>沟，构成深浅不同而相互平行或相交布设的组合排水，并宜配合松土、改土等措施以增强排水效果。</w:t>
      </w:r>
    </w:p>
    <w:p w14:paraId="5AE34FD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rFonts w:hint="eastAsia"/>
          <w:color w:val="auto"/>
          <w:highlight w:val="none"/>
        </w:rPr>
        <w:t>无自流排水条件时，应按本</w:t>
      </w:r>
      <w:r>
        <w:rPr>
          <w:rFonts w:hint="eastAsia"/>
          <w:color w:val="auto"/>
          <w:highlight w:val="none"/>
          <w:lang w:val="en-US" w:eastAsia="zh-CN"/>
        </w:rPr>
        <w:t>规程</w:t>
      </w:r>
      <w:r>
        <w:rPr>
          <w:rFonts w:hint="eastAsia"/>
          <w:color w:val="auto"/>
          <w:highlight w:val="none"/>
        </w:rPr>
        <w:t>5.2相关条款进行暗管排水工程强制排水的规划布置，修建泵站，集中或分片抽排。</w:t>
      </w:r>
    </w:p>
    <w:p w14:paraId="0F0D653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rFonts w:hint="eastAsia" w:ascii="Times New Roman"/>
          <w:color w:val="auto"/>
          <w:highlight w:val="none"/>
        </w:rPr>
        <w:t>高阶地地下水渗出带</w:t>
      </w:r>
      <w:r>
        <w:rPr>
          <w:rFonts w:hint="eastAsia" w:ascii="Times New Roman"/>
          <w:color w:val="auto"/>
          <w:highlight w:val="none"/>
          <w:lang w:eastAsia="zh-CN"/>
        </w:rPr>
        <w:t>、</w:t>
      </w:r>
      <w:r>
        <w:rPr>
          <w:rFonts w:hint="eastAsia" w:ascii="Times New Roman"/>
          <w:color w:val="auto"/>
          <w:highlight w:val="none"/>
        </w:rPr>
        <w:t>渠道侧流影响带</w:t>
      </w:r>
      <w:r>
        <w:rPr>
          <w:rFonts w:hint="eastAsia" w:ascii="Times New Roman"/>
          <w:color w:val="auto"/>
          <w:highlight w:val="none"/>
          <w:lang w:eastAsia="zh-CN"/>
        </w:rPr>
        <w:t>、</w:t>
      </w:r>
      <w:r>
        <w:rPr>
          <w:rFonts w:hint="eastAsia" w:ascii="Times New Roman"/>
          <w:color w:val="auto"/>
          <w:highlight w:val="none"/>
        </w:rPr>
        <w:t>以及上游地下水位较高</w:t>
      </w:r>
      <w:r>
        <w:rPr>
          <w:rFonts w:hint="eastAsia" w:ascii="Times New Roman"/>
          <w:color w:val="auto"/>
          <w:highlight w:val="none"/>
          <w:lang w:val="en-US" w:eastAsia="zh-CN"/>
        </w:rPr>
        <w:t>且</w:t>
      </w:r>
      <w:r>
        <w:rPr>
          <w:rFonts w:hint="eastAsia" w:ascii="Times New Roman"/>
          <w:color w:val="auto"/>
          <w:highlight w:val="none"/>
        </w:rPr>
        <w:t>地下水对下游产生浸害的农田宜布设挡浸排水的暗管。</w:t>
      </w:r>
    </w:p>
    <w:p w14:paraId="0A425F7E">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rFonts w:hint="eastAsia"/>
          <w:color w:val="auto"/>
          <w:highlight w:val="none"/>
        </w:rPr>
        <w:t>对已建灌区内发生次生盐渍化或次生渍害的地区，应以水盐平衡或水量平衡为依据，制定以调控地下水位为主的暗管排水规划和必要的监测规划。</w:t>
      </w:r>
    </w:p>
    <w:bookmarkEnd w:id="227"/>
    <w:bookmarkEnd w:id="228"/>
    <w:bookmarkEnd w:id="229"/>
    <w:bookmarkEnd w:id="230"/>
    <w:p w14:paraId="237F6A54">
      <w:pPr>
        <w:pStyle w:val="90"/>
        <w:keepNext w:val="0"/>
        <w:keepLines w:val="0"/>
        <w:pageBreakBefore w:val="0"/>
        <w:widowControl/>
        <w:kinsoku/>
        <w:wordWrap/>
        <w:overflowPunct/>
        <w:topLinePunct w:val="0"/>
        <w:autoSpaceDE/>
        <w:autoSpaceDN/>
        <w:bidi w:val="0"/>
        <w:adjustRightInd/>
        <w:snapToGrid/>
        <w:spacing w:before="313" w:beforeLines="100" w:after="313" w:afterLines="100"/>
        <w:textAlignment w:val="auto"/>
        <w:rPr>
          <w:rFonts w:hint="eastAsia"/>
          <w:color w:val="auto"/>
          <w:highlight w:val="none"/>
        </w:rPr>
      </w:pPr>
      <w:bookmarkStart w:id="244" w:name="_Toc5673"/>
      <w:bookmarkStart w:id="245" w:name="_Toc335"/>
      <w:bookmarkStart w:id="246" w:name="_Toc16480"/>
      <w:bookmarkStart w:id="247" w:name="_Toc19771"/>
      <w:bookmarkStart w:id="248" w:name="_Toc4532"/>
      <w:bookmarkStart w:id="249" w:name="_Toc520823469"/>
      <w:bookmarkStart w:id="250" w:name="_Toc520709300"/>
      <w:bookmarkStart w:id="251" w:name="_Toc522140497"/>
      <w:bookmarkStart w:id="252" w:name="_Toc2958"/>
      <w:bookmarkStart w:id="253" w:name="_Toc299889767"/>
      <w:bookmarkStart w:id="254" w:name="_Toc1465"/>
      <w:r>
        <w:rPr>
          <w:rFonts w:hint="eastAsia"/>
          <w:color w:val="auto"/>
          <w:highlight w:val="none"/>
        </w:rPr>
        <w:t>工程设计</w:t>
      </w:r>
      <w:bookmarkEnd w:id="244"/>
      <w:bookmarkEnd w:id="245"/>
      <w:bookmarkEnd w:id="246"/>
      <w:bookmarkEnd w:id="247"/>
      <w:bookmarkEnd w:id="248"/>
      <w:bookmarkEnd w:id="249"/>
      <w:bookmarkEnd w:id="250"/>
      <w:bookmarkEnd w:id="251"/>
      <w:bookmarkEnd w:id="252"/>
      <w:bookmarkEnd w:id="253"/>
      <w:bookmarkEnd w:id="254"/>
    </w:p>
    <w:p w14:paraId="5CAFAD96">
      <w:pPr>
        <w:pStyle w:val="71"/>
        <w:keepNext w:val="0"/>
        <w:keepLines w:val="0"/>
        <w:pageBreakBefore w:val="0"/>
        <w:widowControl/>
        <w:kinsoku/>
        <w:wordWrap/>
        <w:overflowPunct/>
        <w:topLinePunct w:val="0"/>
        <w:autoSpaceDE/>
        <w:autoSpaceDN/>
        <w:bidi w:val="0"/>
        <w:adjustRightInd/>
        <w:snapToGrid/>
        <w:textAlignment w:val="auto"/>
        <w:rPr>
          <w:rFonts w:hint="eastAsia"/>
          <w:color w:val="auto"/>
          <w:highlight w:val="none"/>
        </w:rPr>
      </w:pPr>
      <w:bookmarkStart w:id="255" w:name="_Toc520823470"/>
      <w:bookmarkStart w:id="256" w:name="_Toc522140498"/>
      <w:bookmarkStart w:id="257" w:name="_Toc9158"/>
      <w:bookmarkStart w:id="258" w:name="_Toc30293"/>
      <w:bookmarkStart w:id="259" w:name="_Toc8595"/>
      <w:bookmarkStart w:id="260" w:name="_Toc16516"/>
      <w:bookmarkStart w:id="261" w:name="_Toc25940"/>
      <w:bookmarkStart w:id="262" w:name="_Toc29689"/>
      <w:bookmarkStart w:id="263" w:name="_Toc520709301"/>
      <w:bookmarkStart w:id="264" w:name="_Toc299889768"/>
      <w:r>
        <w:rPr>
          <w:rFonts w:hint="eastAsia"/>
          <w:color w:val="auto"/>
          <w:highlight w:val="none"/>
          <w:lang w:val="en-US" w:eastAsia="zh-CN"/>
        </w:rPr>
        <w:t>排水</w:t>
      </w:r>
      <w:r>
        <w:rPr>
          <w:rFonts w:hint="eastAsia"/>
          <w:color w:val="auto"/>
          <w:highlight w:val="none"/>
          <w:lang w:eastAsia="zh-CN"/>
        </w:rPr>
        <w:t>标准</w:t>
      </w:r>
      <w:bookmarkEnd w:id="255"/>
      <w:bookmarkEnd w:id="256"/>
      <w:bookmarkEnd w:id="257"/>
      <w:bookmarkEnd w:id="258"/>
      <w:bookmarkEnd w:id="259"/>
      <w:bookmarkEnd w:id="260"/>
      <w:bookmarkEnd w:id="261"/>
      <w:bookmarkEnd w:id="262"/>
      <w:bookmarkEnd w:id="263"/>
      <w:bookmarkEnd w:id="264"/>
    </w:p>
    <w:p w14:paraId="6A981C2A">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textAlignment w:val="auto"/>
        <w:rPr>
          <w:rFonts w:hint="default" w:eastAsia="宋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6.1.1 排水</w:t>
      </w:r>
      <w:r>
        <w:rPr>
          <w:rFonts w:hint="eastAsia" w:ascii="黑体" w:hAnsi="黑体" w:eastAsia="黑体" w:cs="黑体"/>
          <w:color w:val="auto"/>
          <w:highlight w:val="none"/>
        </w:rPr>
        <w:t>标准分类</w:t>
      </w:r>
    </w:p>
    <w:p w14:paraId="3B000D5A">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s="Times New Roman"/>
          <w:color w:val="auto"/>
          <w:highlight w:val="none"/>
        </w:rPr>
      </w:pPr>
      <w:r>
        <w:rPr>
          <w:rFonts w:hint="eastAsia" w:cs="Times New Roman"/>
          <w:color w:val="auto"/>
          <w:highlight w:val="none"/>
        </w:rPr>
        <w:t>农田排水标准分为排涝标准、排渍标准和防治盐碱化排水标准三类，应根据当地或邻近类似地区排水试验资料和农田排水工程实践经验，按照项目区作物种类、土壤特性、水文地质和气象条件等因素，并结合社会经济条件和农业发展水平，统筹协调排水与灌溉、防洪、环境保护，局部与整体，当前与长远的关系，通过技术经济论证确定。</w:t>
      </w:r>
    </w:p>
    <w:p w14:paraId="1F731BEA">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leftChars="0"/>
        <w:textAlignment w:val="auto"/>
        <w:rPr>
          <w:rFonts w:hint="eastAsia"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6.1.2 排</w:t>
      </w:r>
      <w:r>
        <w:rPr>
          <w:rFonts w:hint="eastAsia" w:ascii="黑体" w:hAnsi="黑体" w:eastAsia="黑体" w:cs="黑体"/>
          <w:color w:val="auto"/>
          <w:highlight w:val="none"/>
          <w:lang w:val="en-US" w:eastAsia="zh-CN"/>
        </w:rPr>
        <w:t>涝标准</w:t>
      </w:r>
    </w:p>
    <w:p w14:paraId="545420E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color w:val="auto"/>
          <w:highlight w:val="none"/>
        </w:rPr>
        <w:t>排涝标准的确定应</w:t>
      </w:r>
      <w:r>
        <w:rPr>
          <w:rFonts w:hint="eastAsia"/>
          <w:color w:val="auto"/>
          <w:highlight w:val="none"/>
          <w:lang w:eastAsia="zh-CN"/>
        </w:rPr>
        <w:t>满足：</w:t>
      </w:r>
      <w:r>
        <w:rPr>
          <w:rFonts w:hint="eastAsia"/>
          <w:color w:val="auto"/>
          <w:highlight w:val="none"/>
        </w:rPr>
        <w:t>（1）</w:t>
      </w:r>
      <w:r>
        <w:rPr>
          <w:color w:val="auto"/>
          <w:highlight w:val="none"/>
        </w:rPr>
        <w:t>根据</w:t>
      </w:r>
      <w:r>
        <w:rPr>
          <w:rFonts w:hint="eastAsia"/>
          <w:color w:val="auto"/>
          <w:highlight w:val="none"/>
        </w:rPr>
        <w:t>灌区主要</w:t>
      </w:r>
      <w:r>
        <w:rPr>
          <w:color w:val="auto"/>
          <w:highlight w:val="none"/>
        </w:rPr>
        <w:t>作物种类确定治涝标准</w:t>
      </w:r>
      <w:r>
        <w:rPr>
          <w:rFonts w:hint="eastAsia"/>
          <w:color w:val="auto"/>
          <w:highlight w:val="none"/>
        </w:rPr>
        <w:t>，</w:t>
      </w:r>
      <w:r>
        <w:rPr>
          <w:color w:val="auto"/>
          <w:highlight w:val="none"/>
        </w:rPr>
        <w:t>对于作物种类较多</w:t>
      </w:r>
      <w:r>
        <w:rPr>
          <w:rFonts w:hint="eastAsia"/>
          <w:color w:val="auto"/>
          <w:highlight w:val="none"/>
        </w:rPr>
        <w:t>、</w:t>
      </w:r>
      <w:r>
        <w:rPr>
          <w:color w:val="auto"/>
          <w:highlight w:val="none"/>
        </w:rPr>
        <w:t>各类作物比例差别不大的治理区</w:t>
      </w:r>
      <w:r>
        <w:rPr>
          <w:rFonts w:hint="eastAsia"/>
          <w:color w:val="auto"/>
          <w:highlight w:val="none"/>
        </w:rPr>
        <w:t>，</w:t>
      </w:r>
      <w:r>
        <w:rPr>
          <w:color w:val="auto"/>
          <w:highlight w:val="none"/>
        </w:rPr>
        <w:t>其排涝标准可综合分析确定</w:t>
      </w:r>
      <w:r>
        <w:rPr>
          <w:rFonts w:hint="eastAsia"/>
          <w:color w:val="auto"/>
          <w:highlight w:val="none"/>
        </w:rPr>
        <w:t>；（2）根据灌区耕地面积和作物种类，按表6.</w:t>
      </w:r>
      <w:r>
        <w:rPr>
          <w:rFonts w:hint="eastAsia"/>
          <w:color w:val="auto"/>
          <w:highlight w:val="none"/>
          <w:lang w:val="en-US" w:eastAsia="zh-CN"/>
        </w:rPr>
        <w:t>1</w:t>
      </w:r>
      <w:r>
        <w:rPr>
          <w:rFonts w:hint="eastAsia"/>
          <w:color w:val="auto"/>
          <w:highlight w:val="none"/>
        </w:rPr>
        <w:t>-1的规定确定设计暴雨的重现期；（3）对于作物经济价值较高、遭受涝灾后损失较大、经济发达地区或有特殊要求的项目区，经技术经济论证后，其设计暴雨重现期可适当提高，但不宜高于20年一遇</w:t>
      </w:r>
      <w:r>
        <w:rPr>
          <w:rFonts w:hint="eastAsia"/>
          <w:color w:val="auto"/>
          <w:highlight w:val="none"/>
          <w:lang w:eastAsia="zh-CN"/>
        </w:rPr>
        <w:t>；（</w:t>
      </w:r>
      <w:r>
        <w:rPr>
          <w:rFonts w:hint="eastAsia"/>
          <w:color w:val="auto"/>
          <w:highlight w:val="none"/>
          <w:lang w:val="en-US" w:eastAsia="zh-CN"/>
        </w:rPr>
        <w:t>4）</w:t>
      </w:r>
      <w:r>
        <w:rPr>
          <w:rFonts w:hint="eastAsia"/>
          <w:color w:val="auto"/>
          <w:highlight w:val="none"/>
        </w:rPr>
        <w:t>遭受涝灾后损失较小的项目区，其设计暴雨重现期可适当降低</w:t>
      </w:r>
      <w:r>
        <w:rPr>
          <w:rFonts w:hint="eastAsia"/>
          <w:color w:val="auto"/>
          <w:highlight w:val="none"/>
          <w:lang w:eastAsia="zh-CN"/>
        </w:rPr>
        <w:t>。</w:t>
      </w:r>
    </w:p>
    <w:p w14:paraId="36F3F830">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lang w:eastAsia="zh-CN"/>
        </w:rPr>
      </w:pPr>
      <w:r>
        <w:rPr>
          <w:rFonts w:hint="eastAsia"/>
          <w:color w:val="auto"/>
          <w:highlight w:val="none"/>
        </w:rPr>
        <w:t>设计暴雨历时和涝水排除时间</w:t>
      </w:r>
      <w:r>
        <w:rPr>
          <w:rFonts w:hint="eastAsia"/>
          <w:color w:val="auto"/>
          <w:highlight w:val="none"/>
          <w:lang w:val="en-US" w:eastAsia="zh-CN"/>
        </w:rPr>
        <w:t>应</w:t>
      </w:r>
      <w:r>
        <w:rPr>
          <w:rFonts w:hint="eastAsia"/>
          <w:color w:val="auto"/>
          <w:highlight w:val="none"/>
        </w:rPr>
        <w:t>根据</w:t>
      </w:r>
      <w:r>
        <w:rPr>
          <w:rFonts w:hint="eastAsia"/>
          <w:color w:val="auto"/>
          <w:highlight w:val="none"/>
          <w:lang w:val="en-US" w:eastAsia="zh-CN"/>
        </w:rPr>
        <w:t>灌区</w:t>
      </w:r>
      <w:r>
        <w:rPr>
          <w:rFonts w:hint="eastAsia"/>
          <w:color w:val="auto"/>
          <w:highlight w:val="none"/>
        </w:rPr>
        <w:t>的暴雨特性、汇流条件、河网湖泊调蓄能力、农作物的耐淹水深和耐淹历时或对农作物减产率的相关分析等条件确定。旱作区可采用1 d～2 d暴雨，1 d～3 d排除</w:t>
      </w:r>
      <w:r>
        <w:rPr>
          <w:rFonts w:hint="eastAsia"/>
          <w:color w:val="auto"/>
          <w:highlight w:val="none"/>
          <w:lang w:eastAsia="zh-CN"/>
        </w:rPr>
        <w:t>；</w:t>
      </w:r>
      <w:r>
        <w:rPr>
          <w:rFonts w:hint="eastAsia"/>
          <w:color w:val="auto"/>
          <w:highlight w:val="none"/>
        </w:rPr>
        <w:t>设施农业种植区可采用1 d暴雨，1 d排除</w:t>
      </w:r>
      <w:r>
        <w:rPr>
          <w:rFonts w:hint="eastAsia"/>
          <w:color w:val="auto"/>
          <w:highlight w:val="none"/>
          <w:lang w:eastAsia="zh-CN"/>
        </w:rPr>
        <w:t>；</w:t>
      </w:r>
      <w:r>
        <w:rPr>
          <w:rFonts w:hint="eastAsia"/>
          <w:color w:val="auto"/>
          <w:highlight w:val="none"/>
        </w:rPr>
        <w:t>稻作区可采用1 d～3 d暴雨，3 d～5 d排至耐淹水深</w:t>
      </w:r>
      <w:r>
        <w:rPr>
          <w:rFonts w:hint="eastAsia"/>
          <w:color w:val="auto"/>
          <w:highlight w:val="none"/>
          <w:lang w:eastAsia="zh-CN"/>
        </w:rPr>
        <w:t>。</w:t>
      </w:r>
    </w:p>
    <w:p w14:paraId="16D0CBE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lang w:eastAsia="zh-CN"/>
        </w:rPr>
      </w:pPr>
      <w:r>
        <w:rPr>
          <w:rFonts w:hint="eastAsia"/>
          <w:color w:val="auto"/>
          <w:highlight w:val="none"/>
        </w:rPr>
        <w:t>对于有特殊要求的作物，根据作物耐淹程度，可适当调整设计暴雨历时和涝水排除时间；对于同时种植多种作物的项目区，应根据作物种植结构和特点，经综合分析后确定耐淹水深和涝水排除时间</w:t>
      </w:r>
      <w:r>
        <w:rPr>
          <w:rFonts w:hint="eastAsia"/>
          <w:color w:val="auto"/>
          <w:highlight w:val="none"/>
          <w:lang w:eastAsia="zh-CN"/>
        </w:rPr>
        <w:t>。</w:t>
      </w:r>
    </w:p>
    <w:p w14:paraId="03E80129">
      <w:pPr>
        <w:pStyle w:val="99"/>
        <w:keepNext w:val="0"/>
        <w:keepLines w:val="0"/>
        <w:pageBreakBefore w:val="0"/>
        <w:widowControl/>
        <w:numPr>
          <w:ilvl w:val="0"/>
          <w:numId w:val="0"/>
        </w:numPr>
        <w:kinsoku/>
        <w:wordWrap/>
        <w:overflowPunct/>
        <w:topLinePunct w:val="0"/>
        <w:autoSpaceDE/>
        <w:autoSpaceDN/>
        <w:bidi w:val="0"/>
        <w:adjustRightInd/>
        <w:snapToGrid/>
        <w:spacing w:before="0" w:beforeLines="0" w:after="0" w:afterLines="0" w:line="240" w:lineRule="auto"/>
        <w:jc w:val="center"/>
        <w:textAlignment w:val="auto"/>
        <w:rPr>
          <w:rFonts w:hint="eastAsia"/>
          <w:color w:val="auto"/>
          <w:sz w:val="18"/>
          <w:szCs w:val="18"/>
          <w:highlight w:val="none"/>
        </w:rPr>
      </w:pPr>
    </w:p>
    <w:p w14:paraId="046D0146">
      <w:pPr>
        <w:pStyle w:val="99"/>
        <w:keepNext w:val="0"/>
        <w:keepLines w:val="0"/>
        <w:pageBreakBefore w:val="0"/>
        <w:widowControl/>
        <w:numPr>
          <w:ilvl w:val="0"/>
          <w:numId w:val="0"/>
        </w:numPr>
        <w:kinsoku/>
        <w:wordWrap/>
        <w:overflowPunct/>
        <w:topLinePunct w:val="0"/>
        <w:autoSpaceDE/>
        <w:autoSpaceDN/>
        <w:bidi w:val="0"/>
        <w:adjustRightInd/>
        <w:snapToGrid/>
        <w:spacing w:before="0" w:beforeLines="0" w:after="0" w:afterLines="0" w:line="240" w:lineRule="auto"/>
        <w:jc w:val="center"/>
        <w:textAlignment w:val="auto"/>
        <w:rPr>
          <w:rFonts w:hint="eastAsia"/>
          <w:color w:val="auto"/>
          <w:sz w:val="18"/>
          <w:szCs w:val="18"/>
          <w:highlight w:val="none"/>
        </w:rPr>
      </w:pPr>
      <w:r>
        <w:rPr>
          <w:rFonts w:hint="eastAsia"/>
          <w:color w:val="auto"/>
          <w:sz w:val="18"/>
          <w:szCs w:val="18"/>
          <w:highlight w:val="none"/>
        </w:rPr>
        <w:t>表6.</w:t>
      </w:r>
      <w:r>
        <w:rPr>
          <w:rFonts w:hint="eastAsia"/>
          <w:color w:val="auto"/>
          <w:sz w:val="18"/>
          <w:szCs w:val="18"/>
          <w:highlight w:val="none"/>
          <w:lang w:val="en-US" w:eastAsia="zh-CN"/>
        </w:rPr>
        <w:t>1</w:t>
      </w:r>
      <w:r>
        <w:rPr>
          <w:rFonts w:hint="eastAsia"/>
          <w:color w:val="auto"/>
          <w:sz w:val="18"/>
          <w:szCs w:val="18"/>
          <w:highlight w:val="none"/>
        </w:rPr>
        <w:t>-1 农田设计暴雨重现期</w:t>
      </w:r>
    </w:p>
    <w:tbl>
      <w:tblPr>
        <w:tblStyle w:val="34"/>
        <w:tblW w:w="618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351"/>
        <w:gridCol w:w="1804"/>
        <w:gridCol w:w="2025"/>
      </w:tblGrid>
      <w:tr w14:paraId="29294A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51" w:type="dxa"/>
            <w:tcBorders>
              <w:top w:val="single" w:color="auto" w:sz="8" w:space="0"/>
              <w:bottom w:val="single" w:color="auto" w:sz="8" w:space="0"/>
            </w:tcBorders>
            <w:vAlign w:val="center"/>
          </w:tcPr>
          <w:p w14:paraId="51DABCCE">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项目区耕地面积（万hm</w:t>
            </w:r>
            <w:r>
              <w:rPr>
                <w:rFonts w:hint="eastAsia" w:ascii="宋体" w:hAnsi="宋体" w:eastAsia="宋体" w:cs="宋体"/>
                <w:color w:val="auto"/>
                <w:kern w:val="0"/>
                <w:sz w:val="18"/>
                <w:szCs w:val="18"/>
                <w:highlight w:val="none"/>
                <w:vertAlign w:val="superscript"/>
              </w:rPr>
              <w:t>2</w:t>
            </w:r>
            <w:r>
              <w:rPr>
                <w:rFonts w:hint="eastAsia" w:ascii="宋体" w:hAnsi="宋体" w:eastAsia="宋体" w:cs="宋体"/>
                <w:color w:val="auto"/>
                <w:kern w:val="0"/>
                <w:sz w:val="18"/>
                <w:szCs w:val="18"/>
                <w:highlight w:val="none"/>
              </w:rPr>
              <w:t>）</w:t>
            </w:r>
          </w:p>
        </w:tc>
        <w:tc>
          <w:tcPr>
            <w:tcW w:w="1804" w:type="dxa"/>
            <w:tcBorders>
              <w:top w:val="single" w:color="auto" w:sz="8" w:space="0"/>
              <w:bottom w:val="single" w:color="auto" w:sz="8" w:space="0"/>
            </w:tcBorders>
            <w:vAlign w:val="center"/>
          </w:tcPr>
          <w:p w14:paraId="14240464">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作物区</w:t>
            </w:r>
          </w:p>
        </w:tc>
        <w:tc>
          <w:tcPr>
            <w:tcW w:w="2025" w:type="dxa"/>
            <w:tcBorders>
              <w:top w:val="single" w:color="auto" w:sz="8" w:space="0"/>
              <w:bottom w:val="single" w:color="auto" w:sz="8" w:space="0"/>
            </w:tcBorders>
            <w:vAlign w:val="center"/>
          </w:tcPr>
          <w:p w14:paraId="5BE69BE0">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设计暴雨重现期（a）</w:t>
            </w:r>
          </w:p>
        </w:tc>
      </w:tr>
      <w:tr w14:paraId="48E2CA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51" w:type="dxa"/>
            <w:vMerge w:val="restart"/>
            <w:tcBorders>
              <w:top w:val="single" w:color="auto" w:sz="8" w:space="0"/>
            </w:tcBorders>
            <w:vAlign w:val="center"/>
          </w:tcPr>
          <w:p w14:paraId="6066CA9D">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≥3</w:t>
            </w:r>
          </w:p>
        </w:tc>
        <w:tc>
          <w:tcPr>
            <w:tcW w:w="1804" w:type="dxa"/>
            <w:tcBorders>
              <w:top w:val="single" w:color="auto" w:sz="8" w:space="0"/>
            </w:tcBorders>
            <w:vAlign w:val="center"/>
          </w:tcPr>
          <w:p w14:paraId="72D05671">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经济作物区</w:t>
            </w:r>
          </w:p>
        </w:tc>
        <w:tc>
          <w:tcPr>
            <w:tcW w:w="2025" w:type="dxa"/>
            <w:tcBorders>
              <w:top w:val="single" w:color="auto" w:sz="8" w:space="0"/>
            </w:tcBorders>
            <w:vAlign w:val="center"/>
          </w:tcPr>
          <w:p w14:paraId="0D035030">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20</w:t>
            </w:r>
            <w:r>
              <w:rPr>
                <w:rFonts w:hint="eastAsia"/>
                <w:color w:val="auto"/>
                <w:highlight w:val="none"/>
              </w:rPr>
              <w:t>～</w:t>
            </w:r>
            <w:r>
              <w:rPr>
                <w:rFonts w:hint="eastAsia" w:ascii="宋体" w:hAnsi="宋体" w:eastAsia="宋体" w:cs="宋体"/>
                <w:color w:val="auto"/>
                <w:kern w:val="0"/>
                <w:sz w:val="18"/>
                <w:szCs w:val="18"/>
                <w:highlight w:val="none"/>
              </w:rPr>
              <w:t>10</w:t>
            </w:r>
          </w:p>
        </w:tc>
      </w:tr>
      <w:tr w14:paraId="2CBBAE7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51" w:type="dxa"/>
            <w:vMerge w:val="continue"/>
            <w:vAlign w:val="center"/>
          </w:tcPr>
          <w:p w14:paraId="5433AA6B">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p>
        </w:tc>
        <w:tc>
          <w:tcPr>
            <w:tcW w:w="1804" w:type="dxa"/>
            <w:vAlign w:val="center"/>
          </w:tcPr>
          <w:p w14:paraId="277537EF">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旱作区</w:t>
            </w:r>
          </w:p>
        </w:tc>
        <w:tc>
          <w:tcPr>
            <w:tcW w:w="2025" w:type="dxa"/>
            <w:vAlign w:val="center"/>
          </w:tcPr>
          <w:p w14:paraId="4A823AC1">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10</w:t>
            </w:r>
            <w:r>
              <w:rPr>
                <w:rFonts w:hint="eastAsia"/>
                <w:color w:val="auto"/>
                <w:highlight w:val="none"/>
              </w:rPr>
              <w:t>～</w:t>
            </w:r>
            <w:r>
              <w:rPr>
                <w:rFonts w:hint="eastAsia" w:ascii="宋体" w:hAnsi="宋体" w:eastAsia="宋体" w:cs="宋体"/>
                <w:color w:val="auto"/>
                <w:kern w:val="0"/>
                <w:sz w:val="18"/>
                <w:szCs w:val="18"/>
                <w:highlight w:val="none"/>
              </w:rPr>
              <w:t>5</w:t>
            </w:r>
          </w:p>
        </w:tc>
      </w:tr>
      <w:tr w14:paraId="07945A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51" w:type="dxa"/>
            <w:vMerge w:val="continue"/>
            <w:tcBorders>
              <w:bottom w:val="single" w:color="auto" w:sz="4" w:space="0"/>
            </w:tcBorders>
            <w:vAlign w:val="center"/>
          </w:tcPr>
          <w:p w14:paraId="6779E5F0">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p>
        </w:tc>
        <w:tc>
          <w:tcPr>
            <w:tcW w:w="1804" w:type="dxa"/>
            <w:tcBorders>
              <w:bottom w:val="single" w:color="auto" w:sz="4" w:space="0"/>
            </w:tcBorders>
            <w:vAlign w:val="center"/>
          </w:tcPr>
          <w:p w14:paraId="67586D17">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稻作区</w:t>
            </w:r>
          </w:p>
        </w:tc>
        <w:tc>
          <w:tcPr>
            <w:tcW w:w="2025" w:type="dxa"/>
            <w:tcBorders>
              <w:bottom w:val="single" w:color="auto" w:sz="4" w:space="0"/>
            </w:tcBorders>
            <w:vAlign w:val="center"/>
          </w:tcPr>
          <w:p w14:paraId="2F9D53CC">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10</w:t>
            </w:r>
          </w:p>
        </w:tc>
      </w:tr>
      <w:tr w14:paraId="133DA6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51" w:type="dxa"/>
            <w:vMerge w:val="restart"/>
            <w:tcBorders>
              <w:top w:val="single" w:color="auto" w:sz="4" w:space="0"/>
            </w:tcBorders>
            <w:vAlign w:val="center"/>
          </w:tcPr>
          <w:p w14:paraId="7257F788">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＜3</w:t>
            </w:r>
          </w:p>
        </w:tc>
        <w:tc>
          <w:tcPr>
            <w:tcW w:w="1804" w:type="dxa"/>
            <w:tcBorders>
              <w:top w:val="single" w:color="auto" w:sz="4" w:space="0"/>
              <w:bottom w:val="single" w:color="auto" w:sz="8" w:space="0"/>
            </w:tcBorders>
            <w:vAlign w:val="center"/>
          </w:tcPr>
          <w:p w14:paraId="1828F3E8">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经济作物区</w:t>
            </w:r>
          </w:p>
        </w:tc>
        <w:tc>
          <w:tcPr>
            <w:tcW w:w="2025" w:type="dxa"/>
            <w:tcBorders>
              <w:top w:val="single" w:color="auto" w:sz="4" w:space="0"/>
              <w:bottom w:val="single" w:color="auto" w:sz="8" w:space="0"/>
            </w:tcBorders>
            <w:vAlign w:val="center"/>
          </w:tcPr>
          <w:p w14:paraId="23B61322">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10</w:t>
            </w:r>
          </w:p>
        </w:tc>
      </w:tr>
      <w:tr w14:paraId="38642E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51" w:type="dxa"/>
            <w:vMerge w:val="continue"/>
            <w:vAlign w:val="center"/>
          </w:tcPr>
          <w:p w14:paraId="4640109C">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p>
        </w:tc>
        <w:tc>
          <w:tcPr>
            <w:tcW w:w="1804" w:type="dxa"/>
            <w:tcBorders>
              <w:top w:val="single" w:color="auto" w:sz="8" w:space="0"/>
            </w:tcBorders>
            <w:vAlign w:val="center"/>
          </w:tcPr>
          <w:p w14:paraId="0264B329">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旱作区</w:t>
            </w:r>
          </w:p>
        </w:tc>
        <w:tc>
          <w:tcPr>
            <w:tcW w:w="2025" w:type="dxa"/>
            <w:tcBorders>
              <w:top w:val="single" w:color="auto" w:sz="8" w:space="0"/>
            </w:tcBorders>
            <w:vAlign w:val="center"/>
          </w:tcPr>
          <w:p w14:paraId="3693A4FC">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10</w:t>
            </w:r>
            <w:r>
              <w:rPr>
                <w:rFonts w:hint="eastAsia"/>
                <w:color w:val="auto"/>
                <w:highlight w:val="none"/>
              </w:rPr>
              <w:t>～</w:t>
            </w:r>
            <w:r>
              <w:rPr>
                <w:rFonts w:hint="eastAsia" w:ascii="宋体" w:hAnsi="宋体" w:eastAsia="宋体" w:cs="宋体"/>
                <w:color w:val="auto"/>
                <w:kern w:val="0"/>
                <w:sz w:val="18"/>
                <w:szCs w:val="18"/>
                <w:highlight w:val="none"/>
              </w:rPr>
              <w:t>3</w:t>
            </w:r>
          </w:p>
        </w:tc>
      </w:tr>
      <w:tr w14:paraId="2A8134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51" w:type="dxa"/>
            <w:vMerge w:val="continue"/>
            <w:vAlign w:val="center"/>
          </w:tcPr>
          <w:p w14:paraId="700AB796">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p>
        </w:tc>
        <w:tc>
          <w:tcPr>
            <w:tcW w:w="1804" w:type="dxa"/>
            <w:vAlign w:val="center"/>
          </w:tcPr>
          <w:p w14:paraId="159EC13D">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稻作区</w:t>
            </w:r>
          </w:p>
        </w:tc>
        <w:tc>
          <w:tcPr>
            <w:tcW w:w="2025" w:type="dxa"/>
            <w:vAlign w:val="center"/>
          </w:tcPr>
          <w:p w14:paraId="43704ED8">
            <w:pPr>
              <w:widowControl/>
              <w:spacing w:before="100" w:beforeAutospacing="1" w:after="100" w:afterAutospacing="1" w:line="330" w:lineRule="atLeast"/>
              <w:jc w:val="center"/>
              <w:rPr>
                <w:rFonts w:hint="eastAsia" w:ascii="宋体" w:hAnsi="宋体" w:eastAsia="宋体" w:cs="宋体"/>
                <w:color w:val="auto"/>
                <w:kern w:val="0"/>
                <w:sz w:val="18"/>
                <w:szCs w:val="18"/>
                <w:highlight w:val="none"/>
              </w:rPr>
            </w:pPr>
            <w:r>
              <w:rPr>
                <w:rFonts w:hint="eastAsia" w:ascii="宋体" w:hAnsi="宋体" w:eastAsia="宋体" w:cs="宋体"/>
                <w:color w:val="auto"/>
                <w:kern w:val="0"/>
                <w:sz w:val="18"/>
                <w:szCs w:val="18"/>
                <w:highlight w:val="none"/>
              </w:rPr>
              <w:t>10</w:t>
            </w:r>
            <w:r>
              <w:rPr>
                <w:rFonts w:hint="eastAsia"/>
                <w:color w:val="auto"/>
                <w:highlight w:val="none"/>
              </w:rPr>
              <w:t>～</w:t>
            </w:r>
            <w:r>
              <w:rPr>
                <w:rFonts w:hint="eastAsia" w:ascii="宋体" w:hAnsi="宋体" w:eastAsia="宋体" w:cs="宋体"/>
                <w:color w:val="auto"/>
                <w:kern w:val="0"/>
                <w:sz w:val="18"/>
                <w:szCs w:val="18"/>
                <w:highlight w:val="none"/>
              </w:rPr>
              <w:t>5</w:t>
            </w:r>
          </w:p>
        </w:tc>
      </w:tr>
    </w:tbl>
    <w:p w14:paraId="33F8314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排涝模数应根据近期内当地或邻近地区的实测资料确定。无实测资料时，可根据</w:t>
      </w:r>
      <w:r>
        <w:rPr>
          <w:rFonts w:hint="eastAsia"/>
          <w:color w:val="auto"/>
          <w:highlight w:val="none"/>
          <w:lang w:val="en-US" w:eastAsia="zh-CN"/>
        </w:rPr>
        <w:t>排水</w:t>
      </w:r>
      <w:r>
        <w:rPr>
          <w:rFonts w:hint="eastAsia"/>
          <w:color w:val="auto"/>
          <w:highlight w:val="none"/>
        </w:rPr>
        <w:t>区的具体情况，</w:t>
      </w:r>
      <w:r>
        <w:rPr>
          <w:rFonts w:hint="eastAsia"/>
          <w:color w:val="auto"/>
          <w:highlight w:val="none"/>
          <w:lang w:val="en-US" w:eastAsia="zh-CN"/>
        </w:rPr>
        <w:t>选择下列适宜</w:t>
      </w:r>
      <w:r>
        <w:rPr>
          <w:rFonts w:hint="eastAsia"/>
          <w:color w:val="auto"/>
          <w:highlight w:val="none"/>
        </w:rPr>
        <w:t>的公式计算确定。</w:t>
      </w:r>
    </w:p>
    <w:p w14:paraId="77BEB2D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lang w:val="en-US" w:eastAsia="zh-CN"/>
        </w:rPr>
      </w:pPr>
      <w:r>
        <w:rPr>
          <w:rFonts w:hint="eastAsia"/>
          <w:color w:val="auto"/>
          <w:highlight w:val="none"/>
          <w:lang w:val="en-US" w:eastAsia="zh-CN"/>
        </w:rPr>
        <w:t>排涝模数经验公式：</w:t>
      </w:r>
    </w:p>
    <w:p w14:paraId="1E6C04FE">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jc w:val="right"/>
        <w:textAlignment w:val="auto"/>
        <w:rPr>
          <w:rFonts w:hint="default" w:eastAsia="宋体"/>
          <w:color w:val="auto"/>
          <w:highlight w:val="none"/>
          <w:lang w:val="en-US" w:eastAsia="zh-CN"/>
        </w:rPr>
      </w:pPr>
      <w:r>
        <w:rPr>
          <w:color w:val="auto"/>
          <w:highlight w:val="none"/>
        </w:rPr>
        <w:object>
          <v:shape id="_x0000_i1025" o:spt="75" type="#_x0000_t75" style="height:16.9pt;width:58.2pt;" o:ole="t" filled="f" o:preferrelative="t" stroked="f" coordsize="21600,21600">
            <v:path/>
            <v:fill on="f" focussize="0,0"/>
            <v:stroke on="f"/>
            <v:imagedata r:id="rId13" o:title=""/>
            <o:lock v:ext="edit" aspectratio="t"/>
            <w10:wrap type="none"/>
            <w10:anchorlock/>
          </v:shape>
          <o:OLEObject Type="Embed" ProgID="Equation.KSEE3" ShapeID="_x0000_i1025" DrawAspect="Content" ObjectID="_1468075725" r:id="rId12">
            <o:LockedField>false</o:LockedField>
          </o:OLEObject>
        </w:object>
      </w:r>
      <w:r>
        <w:rPr>
          <w:rFonts w:hint="eastAsia"/>
          <w:color w:val="auto"/>
          <w:highlight w:val="none"/>
          <w:lang w:val="en-US" w:eastAsia="zh-CN"/>
        </w:rPr>
        <w:t xml:space="preserve">                          （6.1-1）</w:t>
      </w:r>
    </w:p>
    <w:p w14:paraId="5381822C">
      <w:pPr>
        <w:pStyle w:val="25"/>
        <w:keepNext w:val="0"/>
        <w:keepLines w:val="0"/>
        <w:pageBreakBefore w:val="0"/>
        <w:widowControl/>
        <w:kinsoku/>
        <w:wordWrap/>
        <w:overflowPunct/>
        <w:topLinePunct w:val="0"/>
        <w:autoSpaceDE w:val="0"/>
        <w:autoSpaceDN w:val="0"/>
        <w:bidi w:val="0"/>
        <w:spacing w:line="240" w:lineRule="auto"/>
        <w:textAlignment w:val="center"/>
        <w:rPr>
          <w:rFonts w:hint="eastAsia" w:ascii="Times New Roman"/>
          <w:color w:val="auto"/>
          <w:highlight w:val="none"/>
        </w:rPr>
      </w:pPr>
      <w:r>
        <w:rPr>
          <w:rFonts w:ascii="Times New Roman"/>
          <w:color w:val="auto"/>
          <w:highlight w:val="none"/>
        </w:rPr>
        <w:t>式中</w:t>
      </w:r>
      <w:r>
        <w:rPr>
          <w:rFonts w:hint="eastAsia" w:ascii="Times New Roman"/>
          <w:color w:val="auto"/>
          <w:highlight w:val="none"/>
        </w:rPr>
        <w:t>：</w:t>
      </w:r>
    </w:p>
    <w:p w14:paraId="0D0A882D">
      <w:pPr>
        <w:pStyle w:val="25"/>
        <w:keepNext w:val="0"/>
        <w:keepLines w:val="0"/>
        <w:pageBreakBefore w:val="0"/>
        <w:widowControl/>
        <w:kinsoku/>
        <w:wordWrap/>
        <w:overflowPunct/>
        <w:topLinePunct w:val="0"/>
        <w:autoSpaceDE w:val="0"/>
        <w:autoSpaceDN w:val="0"/>
        <w:bidi w:val="0"/>
        <w:spacing w:line="240" w:lineRule="auto"/>
        <w:textAlignment w:val="center"/>
        <w:rPr>
          <w:rFonts w:ascii="Times New Roman"/>
          <w:color w:val="auto"/>
          <w:highlight w:val="none"/>
        </w:rPr>
      </w:pPr>
      <w:r>
        <w:rPr>
          <w:rFonts w:hint="eastAsia" w:ascii="Times New Roman"/>
          <w:i/>
          <w:iCs/>
          <w:color w:val="auto"/>
          <w:highlight w:val="none"/>
          <w:lang w:val="en-US" w:eastAsia="zh-CN"/>
        </w:rPr>
        <w:t>q</w:t>
      </w:r>
      <w:r>
        <w:rPr>
          <w:rFonts w:hint="eastAsia" w:ascii="Times New Roman"/>
          <w:i/>
          <w:iCs/>
          <w:color w:val="auto"/>
          <w:highlight w:val="none"/>
          <w:vertAlign w:val="subscript"/>
          <w:lang w:val="en-US" w:eastAsia="zh-CN"/>
        </w:rPr>
        <w:t>L</w:t>
      </w:r>
      <w:r>
        <w:rPr>
          <w:rFonts w:ascii="Times New Roman"/>
          <w:color w:val="auto"/>
          <w:highlight w:val="none"/>
        </w:rPr>
        <w:t>——设计排涝模数，</w:t>
      </w:r>
      <w:r>
        <w:rPr>
          <w:rFonts w:hint="default" w:ascii="Times New Roman" w:hAnsi="Times New Roman" w:cs="Times New Roman"/>
          <w:color w:val="auto"/>
          <w:highlight w:val="none"/>
          <w:lang w:val="en-US" w:eastAsia="zh-CN"/>
        </w:rPr>
        <w:t>m</w:t>
      </w:r>
      <w:r>
        <w:rPr>
          <w:rFonts w:hint="default" w:ascii="Times New Roman" w:hAnsi="Times New Roman" w:cs="Times New Roman"/>
          <w:color w:val="auto"/>
          <w:highlight w:val="none"/>
          <w:vertAlign w:val="superscript"/>
          <w:lang w:val="en-US" w:eastAsia="zh-CN"/>
        </w:rPr>
        <w:t>3</w:t>
      </w:r>
      <w:r>
        <w:rPr>
          <w:rFonts w:hint="default" w:ascii="Times New Roman" w:hAnsi="Times New Roman" w:cs="Times New Roman"/>
          <w:color w:val="auto"/>
          <w:highlight w:val="none"/>
          <w:lang w:val="en-US" w:eastAsia="zh-CN"/>
        </w:rPr>
        <w:t>/(s·km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lang w:val="en-US" w:eastAsia="zh-CN"/>
        </w:rPr>
        <w:t>)</w:t>
      </w:r>
      <w:r>
        <w:rPr>
          <w:rFonts w:ascii="Times New Roman"/>
          <w:color w:val="auto"/>
          <w:highlight w:val="none"/>
        </w:rPr>
        <w:t xml:space="preserve">； </w:t>
      </w:r>
    </w:p>
    <w:p w14:paraId="380ED434">
      <w:pPr>
        <w:pStyle w:val="25"/>
        <w:keepNext w:val="0"/>
        <w:keepLines w:val="0"/>
        <w:pageBreakBefore w:val="0"/>
        <w:widowControl/>
        <w:kinsoku/>
        <w:wordWrap/>
        <w:overflowPunct/>
        <w:topLinePunct w:val="0"/>
        <w:autoSpaceDE w:val="0"/>
        <w:autoSpaceDN w:val="0"/>
        <w:bidi w:val="0"/>
        <w:spacing w:line="240" w:lineRule="auto"/>
        <w:ind w:left="1575" w:hanging="1575" w:hangingChars="750"/>
        <w:textAlignment w:val="center"/>
        <w:rPr>
          <w:rFonts w:ascii="Times New Roman"/>
          <w:color w:val="auto"/>
          <w:highlight w:val="none"/>
        </w:rPr>
      </w:pPr>
      <w:r>
        <w:rPr>
          <w:rFonts w:ascii="Times New Roman"/>
          <w:color w:val="auto"/>
          <w:highlight w:val="none"/>
        </w:rPr>
        <w:t xml:space="preserve">  </w:t>
      </w:r>
      <w:r>
        <w:rPr>
          <w:rFonts w:ascii="Times New Roman"/>
          <w:color w:val="auto"/>
          <w:sz w:val="36"/>
          <w:szCs w:val="32"/>
          <w:highlight w:val="none"/>
        </w:rPr>
        <w:t xml:space="preserve"> </w:t>
      </w:r>
      <w:r>
        <w:rPr>
          <w:rFonts w:hint="eastAsia" w:ascii="Times New Roman" w:hAnsi="Times New Roman" w:eastAsia="宋体" w:cs="Times New Roman"/>
          <w:i/>
          <w:iCs/>
          <w:color w:val="auto"/>
          <w:highlight w:val="none"/>
          <w:lang w:val="en-US" w:eastAsia="zh-CN"/>
        </w:rPr>
        <w:t xml:space="preserve">K </w:t>
      </w:r>
      <w:r>
        <w:rPr>
          <w:rFonts w:ascii="Times New Roman"/>
          <w:color w:val="auto"/>
          <w:sz w:val="20"/>
          <w:szCs w:val="18"/>
          <w:highlight w:val="none"/>
        </w:rPr>
        <w:t>——</w:t>
      </w:r>
      <w:r>
        <w:rPr>
          <w:rFonts w:ascii="Times New Roman"/>
          <w:color w:val="auto"/>
          <w:highlight w:val="none"/>
        </w:rPr>
        <w:t>反映沟网配套程度、排水沟坡度、降雨历时及流域形状等因素的综合系数</w:t>
      </w:r>
      <w:r>
        <w:rPr>
          <w:rFonts w:hint="eastAsia" w:ascii="Times New Roman"/>
          <w:color w:val="auto"/>
          <w:highlight w:val="none"/>
        </w:rPr>
        <w:t>，</w:t>
      </w:r>
      <w:r>
        <w:rPr>
          <w:rFonts w:ascii="Times New Roman"/>
          <w:color w:val="auto"/>
          <w:highlight w:val="none"/>
        </w:rPr>
        <w:t>经实地测验确定；</w:t>
      </w:r>
    </w:p>
    <w:p w14:paraId="5D106BB6">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center"/>
        <w:rPr>
          <w:rFonts w:ascii="Times New Roman"/>
          <w:color w:val="auto"/>
          <w:highlight w:val="none"/>
        </w:rPr>
      </w:pPr>
      <w:r>
        <w:rPr>
          <w:rFonts w:ascii="Times New Roman"/>
          <w:color w:val="auto"/>
          <w:highlight w:val="none"/>
        </w:rPr>
        <w:t xml:space="preserve">   </w:t>
      </w:r>
      <w:r>
        <w:rPr>
          <w:rFonts w:hint="eastAsia" w:ascii="Times New Roman"/>
          <w:color w:val="auto"/>
          <w:highlight w:val="none"/>
        </w:rPr>
        <w:t xml:space="preserve"> </w:t>
      </w:r>
      <w:r>
        <w:rPr>
          <w:rFonts w:hint="eastAsia" w:ascii="Times New Roman"/>
          <w:i/>
          <w:iCs/>
          <w:color w:val="auto"/>
          <w:highlight w:val="none"/>
          <w:lang w:val="en-US" w:eastAsia="zh-CN"/>
        </w:rPr>
        <w:t>R</w:t>
      </w:r>
      <w:r>
        <w:rPr>
          <w:rFonts w:ascii="Times New Roman"/>
          <w:color w:val="auto"/>
          <w:highlight w:val="none"/>
        </w:rPr>
        <w:t>——设计暴雨的径流水深，mm；</w:t>
      </w:r>
    </w:p>
    <w:p w14:paraId="77288DE8">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center"/>
        <w:rPr>
          <w:rFonts w:ascii="Times New Roman"/>
          <w:color w:val="auto"/>
          <w:highlight w:val="none"/>
        </w:rPr>
      </w:pPr>
      <w:r>
        <w:rPr>
          <w:rFonts w:ascii="Times New Roman"/>
          <w:color w:val="auto"/>
          <w:highlight w:val="none"/>
        </w:rPr>
        <w:t xml:space="preserve">   </w:t>
      </w:r>
      <w:r>
        <w:rPr>
          <w:rFonts w:ascii="Times New Roman"/>
          <w:i/>
          <w:iCs/>
          <w:color w:val="auto"/>
          <w:highlight w:val="none"/>
        </w:rPr>
        <w:t xml:space="preserve"> </w:t>
      </w:r>
      <w:r>
        <w:rPr>
          <w:rFonts w:hint="eastAsia" w:ascii="Times New Roman"/>
          <w:i/>
          <w:iCs/>
          <w:color w:val="auto"/>
          <w:highlight w:val="none"/>
          <w:lang w:val="en-US" w:eastAsia="zh-CN"/>
        </w:rPr>
        <w:t>A</w:t>
      </w:r>
      <w:r>
        <w:rPr>
          <w:rFonts w:ascii="Times New Roman"/>
          <w:color w:val="auto"/>
          <w:highlight w:val="none"/>
        </w:rPr>
        <w:t>——设计的控制排涝面积</w:t>
      </w:r>
      <w:r>
        <w:rPr>
          <w:rFonts w:hint="eastAsia" w:ascii="Times New Roman"/>
          <w:color w:val="auto"/>
          <w:highlight w:val="none"/>
          <w:lang w:eastAsia="zh-CN"/>
        </w:rPr>
        <w:t>，</w:t>
      </w:r>
      <w:r>
        <w:rPr>
          <w:rFonts w:hint="eastAsia" w:ascii="Times New Roman"/>
          <w:color w:val="auto"/>
          <w:highlight w:val="none"/>
          <w:lang w:val="en-US" w:eastAsia="zh-CN"/>
        </w:rPr>
        <w:t>km</w:t>
      </w:r>
      <w:r>
        <w:rPr>
          <w:rFonts w:hint="eastAsia" w:ascii="Times New Roman"/>
          <w:color w:val="auto"/>
          <w:highlight w:val="none"/>
          <w:vertAlign w:val="superscript"/>
          <w:lang w:val="en-US" w:eastAsia="zh-CN"/>
        </w:rPr>
        <w:t>2</w:t>
      </w:r>
      <w:r>
        <w:rPr>
          <w:rFonts w:ascii="Times New Roman"/>
          <w:color w:val="auto"/>
          <w:highlight w:val="none"/>
        </w:rPr>
        <w:t xml:space="preserve">；      </w:t>
      </w:r>
    </w:p>
    <w:p w14:paraId="6B0E13E9">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center"/>
        <w:rPr>
          <w:rFonts w:ascii="Times New Roman"/>
          <w:color w:val="auto"/>
          <w:highlight w:val="none"/>
        </w:rPr>
      </w:pPr>
      <w:r>
        <w:rPr>
          <w:rFonts w:ascii="Times New Roman"/>
          <w:color w:val="auto"/>
          <w:highlight w:val="none"/>
        </w:rPr>
        <w:t xml:space="preserve">    </w:t>
      </w:r>
      <w:r>
        <w:rPr>
          <w:rFonts w:hint="eastAsia" w:ascii="Times New Roman"/>
          <w:i/>
          <w:iCs/>
          <w:color w:val="auto"/>
          <w:highlight w:val="none"/>
          <w:lang w:val="en-US" w:eastAsia="zh-CN"/>
        </w:rPr>
        <w:t>m</w:t>
      </w:r>
      <w:r>
        <w:rPr>
          <w:rFonts w:ascii="Times New Roman"/>
          <w:color w:val="auto"/>
          <w:highlight w:val="none"/>
        </w:rPr>
        <w:t>——反映暴雨径流洪峰与洪量关系的峰量指数</w:t>
      </w:r>
      <w:r>
        <w:rPr>
          <w:rFonts w:hint="eastAsia" w:ascii="Times New Roman"/>
          <w:color w:val="auto"/>
          <w:highlight w:val="none"/>
        </w:rPr>
        <w:t>，</w:t>
      </w:r>
      <w:r>
        <w:rPr>
          <w:rFonts w:ascii="Times New Roman"/>
          <w:color w:val="auto"/>
          <w:highlight w:val="none"/>
        </w:rPr>
        <w:t>经实地测验确定；</w:t>
      </w:r>
    </w:p>
    <w:p w14:paraId="5F6067EB">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center"/>
        <w:rPr>
          <w:rFonts w:hint="eastAsia"/>
          <w:color w:val="auto"/>
          <w:highlight w:val="none"/>
          <w:lang w:val="en-US" w:eastAsia="zh-CN"/>
        </w:rPr>
      </w:pPr>
      <w:r>
        <w:rPr>
          <w:rFonts w:ascii="Times New Roman"/>
          <w:color w:val="auto"/>
          <w:highlight w:val="none"/>
        </w:rPr>
        <w:t xml:space="preserve">    </w:t>
      </w:r>
      <w:r>
        <w:rPr>
          <w:rFonts w:hint="eastAsia" w:ascii="Times New Roman"/>
          <w:i/>
          <w:iCs/>
          <w:color w:val="auto"/>
          <w:highlight w:val="none"/>
          <w:lang w:val="en-US" w:eastAsia="zh-CN"/>
        </w:rPr>
        <w:t>n</w:t>
      </w:r>
      <w:r>
        <w:rPr>
          <w:rFonts w:ascii="Times New Roman"/>
          <w:color w:val="auto"/>
          <w:highlight w:val="none"/>
        </w:rPr>
        <w:t>——排涝面积递减指数，经实地测验确定。</w:t>
      </w:r>
    </w:p>
    <w:p w14:paraId="50A867B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lang w:val="en-US" w:eastAsia="zh-CN"/>
        </w:rPr>
      </w:pPr>
      <w:r>
        <w:rPr>
          <w:rFonts w:hint="eastAsia"/>
          <w:color w:val="auto"/>
          <w:highlight w:val="none"/>
          <w:lang w:val="en-US" w:eastAsia="zh-CN"/>
        </w:rPr>
        <w:t>旱地排涝模数计算公式：</w:t>
      </w:r>
    </w:p>
    <w:p w14:paraId="31FCB17E">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0" w:firstLineChars="0"/>
        <w:jc w:val="right"/>
        <w:textAlignment w:val="auto"/>
        <w:rPr>
          <w:rFonts w:hint="eastAsia"/>
          <w:color w:val="auto"/>
          <w:position w:val="-24"/>
          <w:highlight w:val="none"/>
          <w:lang w:val="en-US" w:eastAsia="zh-CN"/>
        </w:rPr>
      </w:pPr>
      <w:r>
        <w:rPr>
          <w:color w:val="auto"/>
          <w:position w:val="-24"/>
          <w:highlight w:val="none"/>
        </w:rPr>
        <w:object>
          <v:shape id="_x0000_i1026" o:spt="75" type="#_x0000_t75" style="height:28.6pt;width:49.8pt;" o:ole="t" filled="f" o:preferrelative="t" stroked="f" coordsize="21600,21600">
            <v:path/>
            <v:fill on="f" focussize="0,0"/>
            <v:stroke on="f"/>
            <v:imagedata r:id="rId15" o:title=""/>
            <o:lock v:ext="edit" aspectratio="t"/>
            <w10:wrap type="none"/>
            <w10:anchorlock/>
          </v:shape>
          <o:OLEObject Type="Embed" ProgID="Equation.KSEE3" ShapeID="_x0000_i1026" DrawAspect="Content" ObjectID="_1468075726" r:id="rId14">
            <o:LockedField>false</o:LockedField>
          </o:OLEObject>
        </w:object>
      </w:r>
      <w:r>
        <w:rPr>
          <w:rFonts w:hint="eastAsia"/>
          <w:color w:val="auto"/>
          <w:position w:val="-24"/>
          <w:highlight w:val="none"/>
          <w:lang w:val="en-US" w:eastAsia="zh-CN"/>
        </w:rPr>
        <w:t xml:space="preserve">                            （6.1-2）</w:t>
      </w:r>
    </w:p>
    <w:p w14:paraId="652EB9B8">
      <w:pPr>
        <w:pStyle w:val="25"/>
        <w:keepNext w:val="0"/>
        <w:keepLines w:val="0"/>
        <w:pageBreakBefore w:val="0"/>
        <w:widowControl/>
        <w:kinsoku/>
        <w:wordWrap/>
        <w:overflowPunct/>
        <w:topLinePunct w:val="0"/>
        <w:autoSpaceDE w:val="0"/>
        <w:autoSpaceDN w:val="0"/>
        <w:bidi w:val="0"/>
        <w:snapToGrid/>
        <w:spacing w:line="240" w:lineRule="auto"/>
        <w:textAlignment w:val="center"/>
        <w:rPr>
          <w:color w:val="auto"/>
          <w:position w:val="-12"/>
          <w:szCs w:val="21"/>
          <w:highlight w:val="none"/>
        </w:rPr>
      </w:pPr>
      <w:r>
        <w:rPr>
          <w:rFonts w:ascii="Times New Roman"/>
          <w:color w:val="auto"/>
          <w:highlight w:val="none"/>
        </w:rPr>
        <w:t>式中</w:t>
      </w:r>
      <w:r>
        <w:rPr>
          <w:rFonts w:hint="eastAsia" w:ascii="Times New Roman"/>
          <w:color w:val="auto"/>
          <w:highlight w:val="none"/>
        </w:rPr>
        <w:t>：</w:t>
      </w:r>
    </w:p>
    <w:p w14:paraId="587CB700">
      <w:pPr>
        <w:keepNext w:val="0"/>
        <w:keepLines w:val="0"/>
        <w:pageBreakBefore w:val="0"/>
        <w:widowControl w:val="0"/>
        <w:kinsoku/>
        <w:wordWrap/>
        <w:overflowPunct/>
        <w:topLinePunct w:val="0"/>
        <w:autoSpaceDE w:val="0"/>
        <w:autoSpaceDN w:val="0"/>
        <w:bidi w:val="0"/>
        <w:adjustRightInd w:val="0"/>
        <w:snapToGrid/>
        <w:spacing w:line="240" w:lineRule="auto"/>
        <w:ind w:firstLine="420" w:firstLineChars="200"/>
        <w:jc w:val="left"/>
        <w:textAlignment w:val="baseline"/>
        <w:rPr>
          <w:color w:val="auto"/>
          <w:szCs w:val="21"/>
          <w:highlight w:val="none"/>
        </w:rPr>
      </w:pPr>
      <w:r>
        <w:rPr>
          <w:rFonts w:hint="eastAsia"/>
          <w:i/>
          <w:iCs/>
          <w:color w:val="auto"/>
          <w:szCs w:val="21"/>
          <w:highlight w:val="none"/>
          <w:lang w:val="en-US" w:eastAsia="zh-CN"/>
        </w:rPr>
        <w:t>q</w:t>
      </w:r>
      <w:r>
        <w:rPr>
          <w:rFonts w:hint="eastAsia"/>
          <w:i/>
          <w:iCs/>
          <w:color w:val="auto"/>
          <w:szCs w:val="21"/>
          <w:highlight w:val="none"/>
          <w:vertAlign w:val="subscript"/>
          <w:lang w:val="en-US" w:eastAsia="zh-CN"/>
        </w:rPr>
        <w:t>d</w:t>
      </w:r>
      <w:r>
        <w:rPr>
          <w:color w:val="auto"/>
          <w:szCs w:val="21"/>
          <w:highlight w:val="none"/>
        </w:rPr>
        <w:t>——旱地排涝模数，</w:t>
      </w:r>
      <w:r>
        <w:rPr>
          <w:rFonts w:hint="default" w:ascii="Times New Roman" w:hAnsi="Times New Roman" w:cs="Times New Roman"/>
          <w:color w:val="auto"/>
          <w:highlight w:val="none"/>
          <w:lang w:val="en-US" w:eastAsia="zh-CN"/>
        </w:rPr>
        <w:t>m</w:t>
      </w:r>
      <w:r>
        <w:rPr>
          <w:rFonts w:hint="default" w:ascii="Times New Roman" w:hAnsi="Times New Roman" w:cs="Times New Roman"/>
          <w:color w:val="auto"/>
          <w:highlight w:val="none"/>
          <w:vertAlign w:val="superscript"/>
          <w:lang w:val="en-US" w:eastAsia="zh-CN"/>
        </w:rPr>
        <w:t>3</w:t>
      </w:r>
      <w:r>
        <w:rPr>
          <w:rFonts w:hint="default" w:ascii="Times New Roman" w:hAnsi="Times New Roman" w:cs="Times New Roman"/>
          <w:color w:val="auto"/>
          <w:highlight w:val="none"/>
          <w:lang w:val="en-US" w:eastAsia="zh-CN"/>
        </w:rPr>
        <w:t>/(s·km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lang w:val="en-US" w:eastAsia="zh-CN"/>
        </w:rPr>
        <w:t>)</w:t>
      </w:r>
      <w:r>
        <w:rPr>
          <w:color w:val="auto"/>
          <w:szCs w:val="21"/>
          <w:highlight w:val="none"/>
        </w:rPr>
        <w:t>；</w:t>
      </w:r>
    </w:p>
    <w:p w14:paraId="6F082392">
      <w:pPr>
        <w:keepNext w:val="0"/>
        <w:keepLines w:val="0"/>
        <w:pageBreakBefore w:val="0"/>
        <w:kinsoku/>
        <w:wordWrap/>
        <w:overflowPunct/>
        <w:topLinePunct w:val="0"/>
        <w:autoSpaceDE w:val="0"/>
        <w:autoSpaceDN w:val="0"/>
        <w:bidi w:val="0"/>
        <w:adjustRightInd w:val="0"/>
        <w:snapToGrid/>
        <w:spacing w:line="240" w:lineRule="auto"/>
        <w:jc w:val="left"/>
        <w:textAlignment w:val="center"/>
        <w:rPr>
          <w:color w:val="auto"/>
          <w:szCs w:val="21"/>
          <w:highlight w:val="none"/>
        </w:rPr>
      </w:pPr>
      <w:r>
        <w:rPr>
          <w:color w:val="auto"/>
          <w:szCs w:val="21"/>
          <w:highlight w:val="none"/>
        </w:rPr>
        <w:t xml:space="preserve">    </w:t>
      </w:r>
      <w:r>
        <w:rPr>
          <w:i/>
          <w:iCs/>
          <w:color w:val="auto"/>
          <w:szCs w:val="21"/>
          <w:highlight w:val="none"/>
        </w:rPr>
        <w:t xml:space="preserve"> t</w:t>
      </w:r>
      <w:r>
        <w:rPr>
          <w:rFonts w:hint="eastAsia"/>
          <w:color w:val="auto"/>
          <w:szCs w:val="21"/>
          <w:highlight w:val="none"/>
          <w:lang w:val="en-US" w:eastAsia="zh-CN"/>
        </w:rPr>
        <w:t xml:space="preserve"> </w:t>
      </w:r>
      <w:r>
        <w:rPr>
          <w:color w:val="auto"/>
          <w:szCs w:val="21"/>
          <w:highlight w:val="none"/>
        </w:rPr>
        <w:t>——排水时间</w:t>
      </w:r>
      <w:r>
        <w:rPr>
          <w:rFonts w:hint="eastAsia"/>
          <w:color w:val="auto"/>
          <w:szCs w:val="21"/>
          <w:highlight w:val="none"/>
          <w:lang w:eastAsia="zh-CN"/>
        </w:rPr>
        <w:t>（</w:t>
      </w:r>
      <w:r>
        <w:rPr>
          <w:color w:val="auto"/>
          <w:szCs w:val="21"/>
          <w:highlight w:val="none"/>
        </w:rPr>
        <w:t>可采用旱作物的耐</w:t>
      </w:r>
      <w:r>
        <w:rPr>
          <w:rFonts w:hint="eastAsia"/>
          <w:color w:val="auto"/>
          <w:szCs w:val="21"/>
          <w:highlight w:val="none"/>
        </w:rPr>
        <w:t>淹</w:t>
      </w:r>
      <w:r>
        <w:rPr>
          <w:color w:val="auto"/>
          <w:szCs w:val="21"/>
          <w:highlight w:val="none"/>
        </w:rPr>
        <w:t>历时</w:t>
      </w:r>
      <w:r>
        <w:rPr>
          <w:rFonts w:hint="eastAsia"/>
          <w:color w:val="auto"/>
          <w:szCs w:val="21"/>
          <w:highlight w:val="none"/>
          <w:lang w:eastAsia="zh-CN"/>
        </w:rPr>
        <w:t>），</w:t>
      </w:r>
      <w:r>
        <w:rPr>
          <w:i w:val="0"/>
          <w:iCs w:val="0"/>
          <w:color w:val="auto"/>
          <w:szCs w:val="21"/>
          <w:highlight w:val="none"/>
        </w:rPr>
        <w:t>d</w:t>
      </w:r>
      <w:r>
        <w:rPr>
          <w:color w:val="auto"/>
          <w:szCs w:val="21"/>
          <w:highlight w:val="none"/>
        </w:rPr>
        <w:t>。</w:t>
      </w:r>
    </w:p>
    <w:p w14:paraId="4F1011FA">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lang w:val="en-US" w:eastAsia="zh-CN"/>
        </w:rPr>
      </w:pPr>
      <w:r>
        <w:rPr>
          <w:rFonts w:hint="eastAsia"/>
          <w:color w:val="auto"/>
          <w:highlight w:val="none"/>
          <w:lang w:val="en-US" w:eastAsia="zh-CN"/>
        </w:rPr>
        <w:t>稻田排涝模数计算公式：</w:t>
      </w:r>
    </w:p>
    <w:p w14:paraId="44DBA4BA">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0" w:firstLineChars="0"/>
        <w:jc w:val="right"/>
        <w:textAlignment w:val="auto"/>
        <w:rPr>
          <w:rFonts w:hint="default" w:eastAsia="宋体"/>
          <w:color w:val="auto"/>
          <w:highlight w:val="none"/>
          <w:lang w:val="en-US" w:eastAsia="zh-CN"/>
        </w:rPr>
      </w:pPr>
      <w:r>
        <w:rPr>
          <w:color w:val="auto"/>
          <w:highlight w:val="none"/>
        </w:rPr>
        <w:object>
          <v:shape id="_x0000_i1027" o:spt="75" type="#_x0000_t75" style="height:30.15pt;width:99.15pt;" o:ole="t" filled="f" o:preferrelative="t" stroked="f" coordsize="21600,21600">
            <v:path/>
            <v:fill on="f" focussize="0,0"/>
            <v:stroke on="f"/>
            <v:imagedata r:id="rId17" o:title=""/>
            <o:lock v:ext="edit" aspectratio="t"/>
            <w10:wrap type="none"/>
            <w10:anchorlock/>
          </v:shape>
          <o:OLEObject Type="Embed" ProgID="Equation.KSEE3" ShapeID="_x0000_i1027" DrawAspect="Content" ObjectID="_1468075727" r:id="rId16">
            <o:LockedField>false</o:LockedField>
          </o:OLEObject>
        </w:object>
      </w:r>
      <w:r>
        <w:rPr>
          <w:rFonts w:hint="eastAsia"/>
          <w:color w:val="auto"/>
          <w:highlight w:val="none"/>
          <w:lang w:val="en-US" w:eastAsia="zh-CN"/>
        </w:rPr>
        <w:t xml:space="preserve">                       （6.1-3）</w:t>
      </w:r>
    </w:p>
    <w:p w14:paraId="43D39FAF">
      <w:pPr>
        <w:keepNext w:val="0"/>
        <w:keepLines w:val="0"/>
        <w:pageBreakBefore w:val="0"/>
        <w:kinsoku/>
        <w:wordWrap/>
        <w:overflowPunct/>
        <w:topLinePunct w:val="0"/>
        <w:autoSpaceDE w:val="0"/>
        <w:autoSpaceDN w:val="0"/>
        <w:bidi w:val="0"/>
        <w:adjustRightInd w:val="0"/>
        <w:snapToGrid w:val="0"/>
        <w:spacing w:line="240" w:lineRule="auto"/>
        <w:ind w:firstLine="420" w:firstLineChars="200"/>
        <w:jc w:val="left"/>
        <w:textAlignment w:val="baseline"/>
        <w:rPr>
          <w:rFonts w:hint="eastAsia"/>
          <w:color w:val="auto"/>
          <w:szCs w:val="21"/>
          <w:highlight w:val="none"/>
        </w:rPr>
      </w:pPr>
      <w:r>
        <w:rPr>
          <w:color w:val="auto"/>
          <w:szCs w:val="21"/>
          <w:highlight w:val="none"/>
        </w:rPr>
        <w:t>式中</w:t>
      </w:r>
      <w:r>
        <w:rPr>
          <w:rFonts w:hint="eastAsia"/>
          <w:color w:val="auto"/>
          <w:szCs w:val="21"/>
          <w:highlight w:val="none"/>
        </w:rPr>
        <w:t>：</w:t>
      </w:r>
    </w:p>
    <w:p w14:paraId="11441E4D">
      <w:pPr>
        <w:keepNext w:val="0"/>
        <w:keepLines w:val="0"/>
        <w:pageBreakBefore w:val="0"/>
        <w:kinsoku/>
        <w:wordWrap/>
        <w:overflowPunct/>
        <w:topLinePunct w:val="0"/>
        <w:autoSpaceDE w:val="0"/>
        <w:autoSpaceDN w:val="0"/>
        <w:bidi w:val="0"/>
        <w:adjustRightInd w:val="0"/>
        <w:snapToGrid w:val="0"/>
        <w:spacing w:line="240" w:lineRule="auto"/>
        <w:ind w:firstLine="420" w:firstLineChars="200"/>
        <w:jc w:val="left"/>
        <w:textAlignment w:val="baseline"/>
        <w:rPr>
          <w:color w:val="auto"/>
          <w:szCs w:val="21"/>
          <w:highlight w:val="none"/>
        </w:rPr>
      </w:pPr>
      <w:r>
        <w:rPr>
          <w:rFonts w:hint="eastAsia"/>
          <w:b w:val="0"/>
          <w:bCs w:val="0"/>
          <w:i/>
          <w:iCs/>
          <w:color w:val="auto"/>
          <w:szCs w:val="21"/>
          <w:highlight w:val="none"/>
          <w:lang w:val="en-US" w:eastAsia="zh-CN"/>
        </w:rPr>
        <w:t>q</w:t>
      </w:r>
      <w:r>
        <w:rPr>
          <w:rFonts w:hint="eastAsia"/>
          <w:i/>
          <w:iCs/>
          <w:color w:val="auto"/>
          <w:szCs w:val="21"/>
          <w:highlight w:val="none"/>
          <w:vertAlign w:val="subscript"/>
          <w:lang w:val="en-US" w:eastAsia="zh-CN"/>
        </w:rPr>
        <w:t xml:space="preserve">w </w:t>
      </w:r>
      <w:r>
        <w:rPr>
          <w:color w:val="auto"/>
          <w:szCs w:val="21"/>
          <w:highlight w:val="none"/>
        </w:rPr>
        <w:t>——</w:t>
      </w:r>
      <w:r>
        <w:rPr>
          <w:rFonts w:hint="eastAsia"/>
          <w:color w:val="auto"/>
          <w:szCs w:val="21"/>
          <w:highlight w:val="none"/>
        </w:rPr>
        <w:t>稻</w:t>
      </w:r>
      <w:r>
        <w:rPr>
          <w:color w:val="auto"/>
          <w:szCs w:val="21"/>
          <w:highlight w:val="none"/>
        </w:rPr>
        <w:t>田排涝模数，</w:t>
      </w:r>
      <w:r>
        <w:rPr>
          <w:rFonts w:hint="default" w:ascii="Times New Roman" w:hAnsi="Times New Roman" w:cs="Times New Roman"/>
          <w:color w:val="auto"/>
          <w:highlight w:val="none"/>
          <w:lang w:val="en-US" w:eastAsia="zh-CN"/>
        </w:rPr>
        <w:t>m</w:t>
      </w:r>
      <w:r>
        <w:rPr>
          <w:rFonts w:hint="default" w:ascii="Times New Roman" w:hAnsi="Times New Roman" w:cs="Times New Roman"/>
          <w:color w:val="auto"/>
          <w:highlight w:val="none"/>
          <w:vertAlign w:val="superscript"/>
          <w:lang w:val="en-US" w:eastAsia="zh-CN"/>
        </w:rPr>
        <w:t>3</w:t>
      </w:r>
      <w:r>
        <w:rPr>
          <w:rFonts w:hint="default" w:ascii="Times New Roman" w:hAnsi="Times New Roman" w:cs="Times New Roman"/>
          <w:color w:val="auto"/>
          <w:highlight w:val="none"/>
          <w:lang w:val="en-US" w:eastAsia="zh-CN"/>
        </w:rPr>
        <w:t>/(s·km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lang w:val="en-US" w:eastAsia="zh-CN"/>
        </w:rPr>
        <w:t>)</w:t>
      </w:r>
      <w:r>
        <w:rPr>
          <w:color w:val="auto"/>
          <w:szCs w:val="21"/>
          <w:highlight w:val="none"/>
        </w:rPr>
        <w:t>；</w:t>
      </w:r>
    </w:p>
    <w:p w14:paraId="6CBDDE1E">
      <w:pPr>
        <w:keepNext w:val="0"/>
        <w:keepLines w:val="0"/>
        <w:pageBreakBefore w:val="0"/>
        <w:kinsoku/>
        <w:wordWrap/>
        <w:overflowPunct/>
        <w:topLinePunct w:val="0"/>
        <w:autoSpaceDE w:val="0"/>
        <w:autoSpaceDN w:val="0"/>
        <w:bidi w:val="0"/>
        <w:adjustRightInd w:val="0"/>
        <w:snapToGrid w:val="0"/>
        <w:spacing w:line="240" w:lineRule="auto"/>
        <w:ind w:firstLine="420" w:firstLineChars="200"/>
        <w:jc w:val="left"/>
        <w:textAlignment w:val="baseline"/>
        <w:rPr>
          <w:color w:val="auto"/>
          <w:szCs w:val="21"/>
          <w:highlight w:val="none"/>
        </w:rPr>
      </w:pPr>
      <w:r>
        <w:rPr>
          <w:i/>
          <w:iCs/>
          <w:color w:val="auto"/>
          <w:szCs w:val="21"/>
          <w:highlight w:val="none"/>
        </w:rPr>
        <w:t>P</w:t>
      </w:r>
      <w:r>
        <w:rPr>
          <w:rFonts w:hint="eastAsia"/>
          <w:i/>
          <w:iCs/>
          <w:color w:val="auto"/>
          <w:szCs w:val="21"/>
          <w:highlight w:val="none"/>
          <w:lang w:val="en-US" w:eastAsia="zh-CN"/>
        </w:rPr>
        <w:t xml:space="preserve"> </w:t>
      </w:r>
      <w:r>
        <w:rPr>
          <w:color w:val="auto"/>
          <w:szCs w:val="21"/>
          <w:highlight w:val="none"/>
        </w:rPr>
        <w:t>——设计暴雨量，mm；</w:t>
      </w:r>
    </w:p>
    <w:p w14:paraId="111CA587">
      <w:pPr>
        <w:keepNext w:val="0"/>
        <w:keepLines w:val="0"/>
        <w:pageBreakBefore w:val="0"/>
        <w:kinsoku/>
        <w:wordWrap/>
        <w:overflowPunct/>
        <w:topLinePunct w:val="0"/>
        <w:autoSpaceDE w:val="0"/>
        <w:autoSpaceDN w:val="0"/>
        <w:bidi w:val="0"/>
        <w:adjustRightInd w:val="0"/>
        <w:snapToGrid w:val="0"/>
        <w:spacing w:line="240" w:lineRule="auto"/>
        <w:jc w:val="left"/>
        <w:textAlignment w:val="baseline"/>
        <w:rPr>
          <w:color w:val="auto"/>
          <w:szCs w:val="21"/>
          <w:highlight w:val="none"/>
        </w:rPr>
      </w:pPr>
      <w:r>
        <w:rPr>
          <w:color w:val="auto"/>
          <w:sz w:val="28"/>
          <w:szCs w:val="28"/>
          <w:highlight w:val="none"/>
        </w:rPr>
        <w:t xml:space="preserve">   </w:t>
      </w:r>
      <w:r>
        <w:rPr>
          <w:rFonts w:hint="eastAsia"/>
          <w:b w:val="0"/>
          <w:bCs w:val="0"/>
          <w:i/>
          <w:iCs/>
          <w:color w:val="auto"/>
          <w:szCs w:val="21"/>
          <w:highlight w:val="none"/>
          <w:lang w:val="en-US" w:eastAsia="zh-CN"/>
        </w:rPr>
        <w:t>h</w:t>
      </w:r>
      <w:r>
        <w:rPr>
          <w:rFonts w:hint="eastAsia"/>
          <w:i/>
          <w:iCs/>
          <w:color w:val="auto"/>
          <w:szCs w:val="21"/>
          <w:highlight w:val="none"/>
          <w:vertAlign w:val="subscript"/>
          <w:lang w:val="en-US" w:eastAsia="zh-CN"/>
        </w:rPr>
        <w:t>w</w:t>
      </w:r>
      <w:r>
        <w:rPr>
          <w:color w:val="auto"/>
          <w:szCs w:val="21"/>
          <w:highlight w:val="none"/>
        </w:rPr>
        <w:t>——</w:t>
      </w:r>
      <w:r>
        <w:rPr>
          <w:rFonts w:hint="eastAsia"/>
          <w:color w:val="auto"/>
          <w:szCs w:val="21"/>
          <w:highlight w:val="none"/>
        </w:rPr>
        <w:t>稻</w:t>
      </w:r>
      <w:r>
        <w:rPr>
          <w:color w:val="auto"/>
          <w:szCs w:val="21"/>
          <w:highlight w:val="none"/>
        </w:rPr>
        <w:t>田滞蓄水深，mm；</w:t>
      </w:r>
    </w:p>
    <w:p w14:paraId="1E373804">
      <w:pPr>
        <w:keepNext w:val="0"/>
        <w:keepLines w:val="0"/>
        <w:pageBreakBefore w:val="0"/>
        <w:kinsoku/>
        <w:wordWrap/>
        <w:overflowPunct/>
        <w:topLinePunct w:val="0"/>
        <w:autoSpaceDE w:val="0"/>
        <w:autoSpaceDN w:val="0"/>
        <w:bidi w:val="0"/>
        <w:adjustRightInd w:val="0"/>
        <w:snapToGrid w:val="0"/>
        <w:spacing w:line="240" w:lineRule="auto"/>
        <w:jc w:val="left"/>
        <w:textAlignment w:val="baseline"/>
        <w:rPr>
          <w:color w:val="auto"/>
          <w:szCs w:val="21"/>
          <w:highlight w:val="none"/>
        </w:rPr>
      </w:pPr>
      <w:r>
        <w:rPr>
          <w:color w:val="auto"/>
          <w:sz w:val="28"/>
          <w:szCs w:val="28"/>
          <w:highlight w:val="none"/>
        </w:rPr>
        <w:t xml:space="preserve">   </w:t>
      </w:r>
      <w:r>
        <w:rPr>
          <w:rFonts w:hint="eastAsia"/>
          <w:b w:val="0"/>
          <w:bCs w:val="0"/>
          <w:i/>
          <w:iCs/>
          <w:color w:val="auto"/>
          <w:szCs w:val="21"/>
          <w:highlight w:val="none"/>
          <w:lang w:val="en-US" w:eastAsia="zh-CN"/>
        </w:rPr>
        <w:t>E</w:t>
      </w:r>
      <w:r>
        <w:rPr>
          <w:rFonts w:hint="eastAsia"/>
          <w:i/>
          <w:iCs/>
          <w:color w:val="auto"/>
          <w:szCs w:val="21"/>
          <w:highlight w:val="none"/>
          <w:vertAlign w:val="subscript"/>
          <w:lang w:val="en-US" w:eastAsia="zh-CN"/>
        </w:rPr>
        <w:t>w</w:t>
      </w:r>
      <w:r>
        <w:rPr>
          <w:color w:val="auto"/>
          <w:szCs w:val="21"/>
          <w:highlight w:val="none"/>
        </w:rPr>
        <w:t>——排涝时间内的</w:t>
      </w:r>
      <w:r>
        <w:rPr>
          <w:rFonts w:hint="eastAsia"/>
          <w:color w:val="auto"/>
          <w:szCs w:val="21"/>
          <w:highlight w:val="none"/>
        </w:rPr>
        <w:t>稻</w:t>
      </w:r>
      <w:r>
        <w:rPr>
          <w:color w:val="auto"/>
          <w:szCs w:val="21"/>
          <w:highlight w:val="none"/>
        </w:rPr>
        <w:t>田腾发总量，mm；</w:t>
      </w:r>
    </w:p>
    <w:p w14:paraId="59573623">
      <w:pPr>
        <w:keepNext w:val="0"/>
        <w:keepLines w:val="0"/>
        <w:pageBreakBefore w:val="0"/>
        <w:kinsoku/>
        <w:wordWrap/>
        <w:overflowPunct/>
        <w:topLinePunct w:val="0"/>
        <w:autoSpaceDE w:val="0"/>
        <w:autoSpaceDN w:val="0"/>
        <w:bidi w:val="0"/>
        <w:adjustRightInd w:val="0"/>
        <w:snapToGrid w:val="0"/>
        <w:spacing w:line="240" w:lineRule="auto"/>
        <w:ind w:firstLine="420" w:firstLineChars="200"/>
        <w:jc w:val="left"/>
        <w:textAlignment w:val="baseline"/>
        <w:rPr>
          <w:color w:val="auto"/>
          <w:szCs w:val="21"/>
          <w:highlight w:val="none"/>
        </w:rPr>
      </w:pPr>
      <w:r>
        <w:rPr>
          <w:rFonts w:hint="eastAsia"/>
          <w:i/>
          <w:iCs/>
          <w:color w:val="auto"/>
          <w:szCs w:val="21"/>
          <w:highlight w:val="none"/>
          <w:lang w:val="en-US" w:eastAsia="zh-CN"/>
        </w:rPr>
        <w:t xml:space="preserve">S </w:t>
      </w:r>
      <w:r>
        <w:rPr>
          <w:color w:val="auto"/>
          <w:szCs w:val="21"/>
          <w:highlight w:val="none"/>
        </w:rPr>
        <w:t>——排涝时间内的</w:t>
      </w:r>
      <w:r>
        <w:rPr>
          <w:rFonts w:hint="eastAsia"/>
          <w:color w:val="auto"/>
          <w:szCs w:val="21"/>
          <w:highlight w:val="none"/>
        </w:rPr>
        <w:t>稻</w:t>
      </w:r>
      <w:r>
        <w:rPr>
          <w:color w:val="auto"/>
          <w:szCs w:val="21"/>
          <w:highlight w:val="none"/>
        </w:rPr>
        <w:t>田渗漏总量， mm；</w:t>
      </w:r>
    </w:p>
    <w:p w14:paraId="4C0D969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default"/>
          <w:color w:val="auto"/>
          <w:highlight w:val="none"/>
          <w:lang w:val="en-US" w:eastAsia="zh-CN"/>
        </w:rPr>
      </w:pPr>
      <w:r>
        <w:rPr>
          <w:rFonts w:hint="default" w:ascii="Times New Roman" w:hAnsi="Times New Roman" w:cs="Times New Roman"/>
          <w:i/>
          <w:iCs/>
          <w:color w:val="auto"/>
          <w:szCs w:val="21"/>
          <w:highlight w:val="none"/>
        </w:rPr>
        <w:t>t</w:t>
      </w:r>
      <w:r>
        <w:rPr>
          <w:rFonts w:hint="eastAsia" w:ascii="Times New Roman" w:hAnsi="Times New Roman" w:cs="Times New Roman"/>
          <w:i/>
          <w:iCs/>
          <w:color w:val="auto"/>
          <w:szCs w:val="21"/>
          <w:highlight w:val="none"/>
          <w:lang w:val="en-US" w:eastAsia="zh-CN"/>
        </w:rPr>
        <w:t xml:space="preserve"> </w:t>
      </w:r>
      <w:r>
        <w:rPr>
          <w:color w:val="auto"/>
          <w:szCs w:val="21"/>
          <w:highlight w:val="none"/>
        </w:rPr>
        <w:t>——排水时间（可采用水稻的耐淹历时），</w:t>
      </w:r>
      <w:r>
        <w:rPr>
          <w:rFonts w:hint="default" w:ascii="Times New Roman" w:hAnsi="Times New Roman" w:cs="Times New Roman"/>
          <w:i w:val="0"/>
          <w:iCs w:val="0"/>
          <w:color w:val="auto"/>
          <w:szCs w:val="21"/>
          <w:highlight w:val="none"/>
          <w:lang w:val="en-US" w:eastAsia="zh-CN"/>
        </w:rPr>
        <w:t>d</w:t>
      </w:r>
      <w:r>
        <w:rPr>
          <w:color w:val="auto"/>
          <w:szCs w:val="21"/>
          <w:highlight w:val="none"/>
        </w:rPr>
        <w:t>。</w:t>
      </w:r>
    </w:p>
    <w:p w14:paraId="032E5F71">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leftChars="0"/>
        <w:textAlignment w:val="auto"/>
        <w:rPr>
          <w:rFonts w:hint="eastAsia"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6.1.3 治</w:t>
      </w:r>
      <w:r>
        <w:rPr>
          <w:rFonts w:hint="eastAsia" w:ascii="黑体" w:hAnsi="黑体" w:eastAsia="黑体" w:cs="黑体"/>
          <w:color w:val="auto"/>
          <w:highlight w:val="none"/>
          <w:lang w:val="en-US" w:eastAsia="zh-CN"/>
        </w:rPr>
        <w:t>渍排水标准</w:t>
      </w:r>
    </w:p>
    <w:p w14:paraId="413E3ED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lang w:eastAsia="zh-CN"/>
        </w:rPr>
      </w:pPr>
      <w:r>
        <w:rPr>
          <w:rFonts w:hint="eastAsia"/>
          <w:color w:val="auto"/>
          <w:highlight w:val="none"/>
          <w:lang w:val="en-US" w:eastAsia="zh-CN"/>
        </w:rPr>
        <w:t>治</w:t>
      </w:r>
      <w:r>
        <w:rPr>
          <w:color w:val="auto"/>
          <w:highlight w:val="none"/>
        </w:rPr>
        <w:t>渍</w:t>
      </w:r>
      <w:r>
        <w:rPr>
          <w:rFonts w:hint="eastAsia"/>
          <w:color w:val="auto"/>
          <w:highlight w:val="none"/>
          <w:lang w:val="en-US" w:eastAsia="zh-CN"/>
        </w:rPr>
        <w:t>排水</w:t>
      </w:r>
      <w:r>
        <w:rPr>
          <w:color w:val="auto"/>
          <w:highlight w:val="none"/>
        </w:rPr>
        <w:t>标准应综合农作物生长和农业机械作业的要求确定，</w:t>
      </w:r>
      <w:r>
        <w:rPr>
          <w:rFonts w:hint="eastAsia"/>
          <w:color w:val="auto"/>
          <w:highlight w:val="none"/>
          <w:lang w:val="en-US" w:eastAsia="zh-CN"/>
        </w:rPr>
        <w:t>应符合</w:t>
      </w:r>
      <w:r>
        <w:rPr>
          <w:rFonts w:hint="eastAsia"/>
          <w:color w:val="auto"/>
          <w:highlight w:val="none"/>
          <w:lang w:eastAsia="zh-CN"/>
        </w:rPr>
        <w:t>：</w:t>
      </w:r>
      <w:r>
        <w:rPr>
          <w:color w:val="auto"/>
          <w:highlight w:val="none"/>
        </w:rPr>
        <w:t>（</w:t>
      </w:r>
      <w:r>
        <w:rPr>
          <w:rFonts w:hint="eastAsia"/>
          <w:color w:val="auto"/>
          <w:highlight w:val="none"/>
        </w:rPr>
        <w:t>1）</w:t>
      </w:r>
      <w:r>
        <w:rPr>
          <w:color w:val="auto"/>
          <w:highlight w:val="none"/>
        </w:rPr>
        <w:t>以</w:t>
      </w:r>
      <w:r>
        <w:rPr>
          <w:rFonts w:hint="eastAsia"/>
          <w:color w:val="auto"/>
          <w:highlight w:val="none"/>
          <w:lang w:val="en-US" w:eastAsia="zh-CN"/>
        </w:rPr>
        <w:t>满足</w:t>
      </w:r>
      <w:r>
        <w:rPr>
          <w:color w:val="auto"/>
          <w:highlight w:val="none"/>
        </w:rPr>
        <w:t>农作物全生育期要求的最大排渍深度</w:t>
      </w:r>
      <w:r>
        <w:rPr>
          <w:rFonts w:hint="eastAsia"/>
          <w:color w:val="auto"/>
          <w:highlight w:val="none"/>
          <w:lang w:val="en-US" w:eastAsia="zh-CN"/>
        </w:rPr>
        <w:t>作</w:t>
      </w:r>
      <w:r>
        <w:rPr>
          <w:color w:val="auto"/>
          <w:highlight w:val="none"/>
        </w:rPr>
        <w:t>为治渍排水工程控制标准，</w:t>
      </w:r>
      <w:r>
        <w:rPr>
          <w:rFonts w:hint="eastAsia"/>
          <w:color w:val="auto"/>
          <w:highlight w:val="none"/>
          <w:lang w:val="en-US" w:eastAsia="zh-CN"/>
        </w:rPr>
        <w:t>根据</w:t>
      </w:r>
      <w:r>
        <w:rPr>
          <w:color w:val="auto"/>
          <w:highlight w:val="none"/>
        </w:rPr>
        <w:t>作物根系深度不同而选用0.8</w:t>
      </w:r>
      <w:r>
        <w:rPr>
          <w:rFonts w:hint="eastAsia" w:ascii="Times New Roman"/>
          <w:color w:val="auto"/>
          <w:highlight w:val="none"/>
        </w:rPr>
        <w:t>～</w:t>
      </w:r>
      <w:r>
        <w:rPr>
          <w:color w:val="auto"/>
          <w:highlight w:val="none"/>
        </w:rPr>
        <w:t>1.3m</w:t>
      </w:r>
      <w:r>
        <w:rPr>
          <w:rFonts w:hint="eastAsia"/>
          <w:color w:val="auto"/>
          <w:highlight w:val="none"/>
          <w:lang w:eastAsia="zh-CN"/>
        </w:rPr>
        <w:t>；（</w:t>
      </w:r>
      <w:r>
        <w:rPr>
          <w:rFonts w:hint="eastAsia"/>
          <w:color w:val="auto"/>
          <w:highlight w:val="none"/>
          <w:lang w:val="en-US" w:eastAsia="zh-CN"/>
        </w:rPr>
        <w:t>2）</w:t>
      </w:r>
      <w:r>
        <w:rPr>
          <w:color w:val="auto"/>
          <w:highlight w:val="none"/>
        </w:rPr>
        <w:t>旱作区在渍害敏感期间可采用3</w:t>
      </w:r>
      <w:r>
        <w:rPr>
          <w:rFonts w:hint="eastAsia" w:ascii="Times New Roman"/>
          <w:color w:val="auto"/>
          <w:highlight w:val="none"/>
        </w:rPr>
        <w:t>～</w:t>
      </w:r>
      <w:r>
        <w:rPr>
          <w:color w:val="auto"/>
          <w:highlight w:val="none"/>
        </w:rPr>
        <w:t>4天内将地下水埋深降至田面以下0.4</w:t>
      </w:r>
      <w:r>
        <w:rPr>
          <w:rFonts w:hint="eastAsia" w:ascii="Times New Roman"/>
          <w:color w:val="auto"/>
          <w:highlight w:val="none"/>
        </w:rPr>
        <w:t>～</w:t>
      </w:r>
      <w:r>
        <w:rPr>
          <w:color w:val="auto"/>
          <w:highlight w:val="none"/>
        </w:rPr>
        <w:t>0.6m；</w:t>
      </w:r>
      <w:r>
        <w:rPr>
          <w:rFonts w:hint="eastAsia"/>
          <w:color w:val="auto"/>
          <w:highlight w:val="none"/>
          <w:lang w:eastAsia="zh-CN"/>
        </w:rPr>
        <w:t>（</w:t>
      </w:r>
      <w:r>
        <w:rPr>
          <w:rFonts w:hint="eastAsia"/>
          <w:color w:val="auto"/>
          <w:highlight w:val="none"/>
          <w:lang w:val="en-US" w:eastAsia="zh-CN"/>
        </w:rPr>
        <w:t>3）</w:t>
      </w:r>
      <w:r>
        <w:rPr>
          <w:color w:val="auto"/>
          <w:highlight w:val="none"/>
        </w:rPr>
        <w:t>稻作区在晒田期3</w:t>
      </w:r>
      <w:r>
        <w:rPr>
          <w:rFonts w:hint="eastAsia" w:ascii="Times New Roman"/>
          <w:color w:val="auto"/>
          <w:highlight w:val="none"/>
        </w:rPr>
        <w:t>～</w:t>
      </w:r>
      <w:r>
        <w:rPr>
          <w:color w:val="auto"/>
          <w:highlight w:val="none"/>
        </w:rPr>
        <w:t>5天内降至田面以下0.4</w:t>
      </w:r>
      <w:r>
        <w:rPr>
          <w:rFonts w:hint="eastAsia" w:ascii="Times New Roman"/>
          <w:color w:val="auto"/>
          <w:highlight w:val="none"/>
        </w:rPr>
        <w:t>～</w:t>
      </w:r>
      <w:r>
        <w:rPr>
          <w:color w:val="auto"/>
          <w:highlight w:val="none"/>
        </w:rPr>
        <w:t>0.6m；</w:t>
      </w:r>
      <w:r>
        <w:rPr>
          <w:rFonts w:hint="eastAsia"/>
          <w:color w:val="auto"/>
          <w:highlight w:val="none"/>
          <w:lang w:eastAsia="zh-CN"/>
        </w:rPr>
        <w:t>（</w:t>
      </w:r>
      <w:r>
        <w:rPr>
          <w:rFonts w:hint="eastAsia"/>
          <w:color w:val="auto"/>
          <w:highlight w:val="none"/>
          <w:lang w:val="en-US" w:eastAsia="zh-CN"/>
        </w:rPr>
        <w:t>4）</w:t>
      </w:r>
      <w:r>
        <w:rPr>
          <w:color w:val="auto"/>
          <w:highlight w:val="none"/>
        </w:rPr>
        <w:t>淹灌期的适宜渗漏率可选用2mm/d</w:t>
      </w:r>
      <w:r>
        <w:rPr>
          <w:rFonts w:hint="eastAsia" w:ascii="Times New Roman"/>
          <w:color w:val="auto"/>
          <w:highlight w:val="none"/>
        </w:rPr>
        <w:t>～</w:t>
      </w:r>
      <w:r>
        <w:rPr>
          <w:color w:val="auto"/>
          <w:highlight w:val="none"/>
        </w:rPr>
        <w:t>8mm/d，黏性土取较小值，砂性土取较大值</w:t>
      </w:r>
      <w:r>
        <w:rPr>
          <w:rFonts w:hint="eastAsia"/>
          <w:color w:val="auto"/>
          <w:highlight w:val="none"/>
        </w:rPr>
        <w:t>；（</w:t>
      </w:r>
      <w:r>
        <w:rPr>
          <w:rFonts w:hint="eastAsia"/>
          <w:color w:val="auto"/>
          <w:highlight w:val="none"/>
          <w:lang w:val="en-US" w:eastAsia="zh-CN"/>
        </w:rPr>
        <w:t>5</w:t>
      </w:r>
      <w:r>
        <w:rPr>
          <w:rFonts w:hint="eastAsia"/>
          <w:color w:val="auto"/>
          <w:highlight w:val="none"/>
        </w:rPr>
        <w:t>）</w:t>
      </w:r>
      <w:r>
        <w:rPr>
          <w:color w:val="auto"/>
          <w:highlight w:val="none"/>
        </w:rPr>
        <w:t>农业机械作业对排水要求的排渍深度，宜控制在0.6</w:t>
      </w:r>
      <w:r>
        <w:rPr>
          <w:rFonts w:hint="eastAsia" w:ascii="Times New Roman"/>
          <w:color w:val="auto"/>
          <w:highlight w:val="none"/>
        </w:rPr>
        <w:t>～</w:t>
      </w:r>
      <w:r>
        <w:rPr>
          <w:color w:val="auto"/>
          <w:highlight w:val="none"/>
        </w:rPr>
        <w:t>0.8m，排渍时间可根据农作物种植区的耕作要求确定</w:t>
      </w:r>
      <w:r>
        <w:rPr>
          <w:rFonts w:hint="eastAsia"/>
          <w:color w:val="auto"/>
          <w:highlight w:val="none"/>
          <w:lang w:eastAsia="zh-CN"/>
        </w:rPr>
        <w:t>。</w:t>
      </w:r>
    </w:p>
    <w:p w14:paraId="370F1B3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lang w:eastAsia="zh-CN"/>
        </w:rPr>
      </w:pPr>
      <w:r>
        <w:rPr>
          <w:color w:val="auto"/>
          <w:highlight w:val="none"/>
        </w:rPr>
        <w:t>治渍排水模数可按</w:t>
      </w:r>
      <w:r>
        <w:rPr>
          <w:rFonts w:hint="eastAsia"/>
          <w:color w:val="auto"/>
          <w:highlight w:val="none"/>
          <w:lang w:val="en-US" w:eastAsia="zh-CN"/>
        </w:rPr>
        <w:t>下</w:t>
      </w:r>
      <w:r>
        <w:rPr>
          <w:color w:val="auto"/>
          <w:highlight w:val="none"/>
        </w:rPr>
        <w:t>式计算</w:t>
      </w:r>
      <w:r>
        <w:rPr>
          <w:rFonts w:hint="eastAsia"/>
          <w:color w:val="auto"/>
          <w:highlight w:val="none"/>
        </w:rPr>
        <w:t>：</w:t>
      </w:r>
    </w:p>
    <w:p w14:paraId="6338C95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jc w:val="right"/>
        <w:textAlignment w:val="auto"/>
        <w:rPr>
          <w:rFonts w:hint="eastAsia"/>
          <w:color w:val="auto"/>
          <w:highlight w:val="none"/>
          <w:lang w:eastAsia="zh-CN"/>
        </w:rPr>
      </w:pPr>
      <w:r>
        <w:rPr>
          <w:rFonts w:hint="eastAsia"/>
          <w:color w:val="auto"/>
          <w:highlight w:val="none"/>
          <w:lang w:val="en-US" w:eastAsia="zh-CN"/>
        </w:rPr>
        <w:t xml:space="preserve">                                </w:t>
      </w:r>
      <w:r>
        <w:rPr>
          <w:color w:val="auto"/>
          <w:position w:val="-24"/>
          <w:highlight w:val="none"/>
        </w:rPr>
        <w:object>
          <v:shape id="_x0000_i1028" o:spt="75" type="#_x0000_t75" style="height:33.05pt;width:54.5pt;" o:ole="t" filled="f" o:preferrelative="t" stroked="f" coordsize="21600,21600">
            <v:path/>
            <v:fill on="f" focussize="0,0"/>
            <v:stroke on="f"/>
            <v:imagedata r:id="rId19" o:title=""/>
            <o:lock v:ext="edit" aspectratio="t"/>
            <w10:wrap type="none"/>
            <w10:anchorlock/>
          </v:shape>
          <o:OLEObject Type="Embed" ProgID="Equation.3" ShapeID="_x0000_i1028" DrawAspect="Content" ObjectID="_1468075728" r:id="rId18">
            <o:LockedField>false</o:LockedField>
          </o:OLEObject>
        </w:object>
      </w:r>
      <w:r>
        <w:rPr>
          <w:color w:val="auto"/>
          <w:highlight w:val="none"/>
        </w:rPr>
        <w:tab/>
      </w:r>
      <w:r>
        <w:rPr>
          <w:rFonts w:hint="eastAsia"/>
          <w:color w:val="auto"/>
          <w:highlight w:val="none"/>
          <w:lang w:val="en-US" w:eastAsia="zh-CN"/>
        </w:rPr>
        <w:t xml:space="preserve">                              </w:t>
      </w:r>
      <w:r>
        <w:rPr>
          <w:rFonts w:hint="eastAsia"/>
          <w:color w:val="auto"/>
          <w:highlight w:val="none"/>
        </w:rPr>
        <w:t>（</w:t>
      </w:r>
      <w:r>
        <w:rPr>
          <w:color w:val="auto"/>
          <w:highlight w:val="none"/>
        </w:rPr>
        <w:t>6.</w:t>
      </w:r>
      <w:r>
        <w:rPr>
          <w:rFonts w:hint="eastAsia"/>
          <w:color w:val="auto"/>
          <w:highlight w:val="none"/>
          <w:lang w:val="en-US" w:eastAsia="zh-CN"/>
        </w:rPr>
        <w:t>1</w:t>
      </w:r>
      <w:r>
        <w:rPr>
          <w:color w:val="auto"/>
          <w:highlight w:val="none"/>
        </w:rPr>
        <w:t>-</w:t>
      </w:r>
      <w:r>
        <w:rPr>
          <w:rFonts w:hint="eastAsia"/>
          <w:color w:val="auto"/>
          <w:highlight w:val="none"/>
          <w:lang w:val="en-US" w:eastAsia="zh-CN"/>
        </w:rPr>
        <w:t>4</w:t>
      </w:r>
      <w:r>
        <w:rPr>
          <w:rFonts w:hint="eastAsia"/>
          <w:color w:val="auto"/>
          <w:highlight w:val="none"/>
        </w:rPr>
        <w:t>）</w:t>
      </w:r>
    </w:p>
    <w:p w14:paraId="74A955FA">
      <w:pPr>
        <w:keepNext w:val="0"/>
        <w:keepLines w:val="0"/>
        <w:pageBreakBefore w:val="0"/>
        <w:kinsoku/>
        <w:wordWrap/>
        <w:overflowPunct/>
        <w:topLinePunct w:val="0"/>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式中：</w:t>
      </w:r>
    </w:p>
    <w:p w14:paraId="5ADB60F8">
      <w:pPr>
        <w:keepNext w:val="0"/>
        <w:keepLines w:val="0"/>
        <w:pageBreakBefore w:val="0"/>
        <w:kinsoku/>
        <w:wordWrap/>
        <w:overflowPunct/>
        <w:topLinePunct w:val="0"/>
        <w:bidi w:val="0"/>
        <w:adjustRightInd w:val="0"/>
        <w:snapToGrid w:val="0"/>
        <w:spacing w:line="240" w:lineRule="auto"/>
        <w:ind w:firstLine="420" w:firstLineChars="200"/>
        <w:textAlignment w:val="auto"/>
        <w:rPr>
          <w:color w:val="auto"/>
          <w:highlight w:val="none"/>
        </w:rPr>
      </w:pPr>
      <w:r>
        <w:rPr>
          <w:rFonts w:hint="eastAsia"/>
          <w:i/>
          <w:iCs/>
          <w:color w:val="auto"/>
          <w:highlight w:val="none"/>
        </w:rPr>
        <w:t>q</w:t>
      </w:r>
      <w:r>
        <w:rPr>
          <w:rFonts w:ascii="Times New Roman"/>
          <w:color w:val="auto"/>
          <w:highlight w:val="none"/>
        </w:rPr>
        <w:t>——</w:t>
      </w:r>
      <w:r>
        <w:rPr>
          <w:color w:val="auto"/>
          <w:highlight w:val="none"/>
        </w:rPr>
        <w:t>排渍模数，mm/d；</w:t>
      </w:r>
    </w:p>
    <w:p w14:paraId="3B9EA9E9">
      <w:pPr>
        <w:keepNext w:val="0"/>
        <w:keepLines w:val="0"/>
        <w:pageBreakBefore w:val="0"/>
        <w:kinsoku/>
        <w:wordWrap/>
        <w:overflowPunct/>
        <w:topLinePunct w:val="0"/>
        <w:bidi w:val="0"/>
        <w:adjustRightInd w:val="0"/>
        <w:snapToGrid w:val="0"/>
        <w:spacing w:line="240" w:lineRule="auto"/>
        <w:ind w:firstLine="420" w:firstLineChars="200"/>
        <w:textAlignment w:val="auto"/>
        <w:rPr>
          <w:color w:val="auto"/>
          <w:highlight w:val="none"/>
        </w:rPr>
      </w:pPr>
      <w:r>
        <w:rPr>
          <w:i/>
          <w:iCs/>
          <w:color w:val="auto"/>
          <w:highlight w:val="none"/>
        </w:rPr>
        <w:t>μ</w:t>
      </w:r>
      <w:r>
        <w:rPr>
          <w:rFonts w:ascii="Times New Roman"/>
          <w:color w:val="auto"/>
          <w:highlight w:val="none"/>
        </w:rPr>
        <w:t>——</w:t>
      </w:r>
      <w:r>
        <w:rPr>
          <w:color w:val="auto"/>
          <w:highlight w:val="none"/>
        </w:rPr>
        <w:t>地下水位降深范围内的平均给水度；</w:t>
      </w:r>
    </w:p>
    <w:p w14:paraId="2F704E8B">
      <w:pPr>
        <w:keepNext w:val="0"/>
        <w:keepLines w:val="0"/>
        <w:pageBreakBefore w:val="0"/>
        <w:kinsoku/>
        <w:wordWrap/>
        <w:overflowPunct/>
        <w:topLinePunct w:val="0"/>
        <w:bidi w:val="0"/>
        <w:adjustRightInd w:val="0"/>
        <w:snapToGrid w:val="0"/>
        <w:spacing w:line="240" w:lineRule="auto"/>
        <w:ind w:firstLine="420" w:firstLineChars="200"/>
        <w:textAlignment w:val="auto"/>
        <w:rPr>
          <w:color w:val="auto"/>
          <w:highlight w:val="none"/>
        </w:rPr>
      </w:pPr>
      <w:r>
        <w:rPr>
          <w:color w:val="auto"/>
          <w:highlight w:val="none"/>
        </w:rPr>
        <w:t>∆</w:t>
      </w:r>
      <w:r>
        <w:rPr>
          <w:i/>
          <w:iCs/>
          <w:color w:val="auto"/>
          <w:highlight w:val="none"/>
        </w:rPr>
        <w:t>h</w:t>
      </w:r>
      <w:r>
        <w:rPr>
          <w:rFonts w:ascii="Times New Roman"/>
          <w:color w:val="auto"/>
          <w:highlight w:val="none"/>
        </w:rPr>
        <w:t>——</w:t>
      </w:r>
      <w:r>
        <w:rPr>
          <w:color w:val="auto"/>
          <w:highlight w:val="none"/>
        </w:rPr>
        <w:t>满足排渍要求的地下水位平均降深值，m；</w:t>
      </w:r>
    </w:p>
    <w:p w14:paraId="3DAABD84">
      <w:pPr>
        <w:pStyle w:val="25"/>
        <w:keepNext w:val="0"/>
        <w:keepLines w:val="0"/>
        <w:pageBreakBefore w:val="0"/>
        <w:kinsoku/>
        <w:wordWrap/>
        <w:overflowPunct/>
        <w:topLinePunct w:val="0"/>
        <w:bidi w:val="0"/>
        <w:adjustRightInd w:val="0"/>
        <w:snapToGrid w:val="0"/>
        <w:spacing w:line="240" w:lineRule="auto"/>
        <w:textAlignment w:val="auto"/>
        <w:rPr>
          <w:rFonts w:ascii="Times New Roman"/>
          <w:color w:val="auto"/>
          <w:highlight w:val="none"/>
        </w:rPr>
      </w:pPr>
      <w:r>
        <w:rPr>
          <w:rFonts w:ascii="Times New Roman"/>
          <w:i/>
          <w:iCs/>
          <w:color w:val="auto"/>
          <w:highlight w:val="none"/>
        </w:rPr>
        <w:t>t</w:t>
      </w:r>
      <w:r>
        <w:rPr>
          <w:rFonts w:ascii="Times New Roman"/>
          <w:color w:val="auto"/>
          <w:highlight w:val="none"/>
        </w:rPr>
        <w:t>——排水时间，d，</w:t>
      </w:r>
      <w:r>
        <w:rPr>
          <w:rFonts w:hint="eastAsia" w:ascii="Times New Roman"/>
          <w:color w:val="auto"/>
          <w:highlight w:val="none"/>
          <w:lang w:val="en-US" w:eastAsia="zh-CN"/>
        </w:rPr>
        <w:t>依据</w:t>
      </w:r>
      <w:r>
        <w:rPr>
          <w:rFonts w:ascii="Times New Roman"/>
          <w:color w:val="auto"/>
          <w:highlight w:val="none"/>
        </w:rPr>
        <w:t>治渍要求确定</w:t>
      </w:r>
      <w:r>
        <w:rPr>
          <w:rFonts w:hint="eastAsia" w:ascii="Times New Roman"/>
          <w:color w:val="auto"/>
          <w:highlight w:val="none"/>
          <w:lang w:val="en-US" w:eastAsia="zh-CN"/>
        </w:rPr>
        <w:t>或按表</w:t>
      </w:r>
      <w:r>
        <w:rPr>
          <w:rFonts w:ascii="Times New Roman"/>
          <w:color w:val="auto"/>
          <w:highlight w:val="none"/>
        </w:rPr>
        <w:t>6.</w:t>
      </w:r>
      <w:r>
        <w:rPr>
          <w:rFonts w:hint="eastAsia" w:ascii="Times New Roman"/>
          <w:color w:val="auto"/>
          <w:highlight w:val="none"/>
          <w:lang w:val="en-US" w:eastAsia="zh-CN"/>
        </w:rPr>
        <w:t>1</w:t>
      </w:r>
      <w:r>
        <w:rPr>
          <w:rFonts w:ascii="Times New Roman"/>
          <w:color w:val="auto"/>
          <w:highlight w:val="none"/>
        </w:rPr>
        <w:t>-</w:t>
      </w:r>
      <w:r>
        <w:rPr>
          <w:rFonts w:hint="eastAsia" w:ascii="Times New Roman"/>
          <w:color w:val="auto"/>
          <w:highlight w:val="none"/>
        </w:rPr>
        <w:t>2</w:t>
      </w:r>
      <w:r>
        <w:rPr>
          <w:rFonts w:hint="eastAsia" w:ascii="Times New Roman"/>
          <w:color w:val="auto"/>
          <w:highlight w:val="none"/>
          <w:lang w:val="en-US" w:eastAsia="zh-CN"/>
        </w:rPr>
        <w:t>选取</w:t>
      </w:r>
      <w:r>
        <w:rPr>
          <w:rFonts w:ascii="Times New Roman"/>
          <w:color w:val="auto"/>
          <w:highlight w:val="none"/>
        </w:rPr>
        <w:t>。</w:t>
      </w:r>
    </w:p>
    <w:p w14:paraId="18E4F3D6">
      <w:pPr>
        <w:pStyle w:val="99"/>
        <w:keepNext w:val="0"/>
        <w:keepLines w:val="0"/>
        <w:pageBreakBefore w:val="0"/>
        <w:widowControl/>
        <w:numPr>
          <w:ilvl w:val="0"/>
          <w:numId w:val="0"/>
        </w:numPr>
        <w:kinsoku/>
        <w:wordWrap/>
        <w:overflowPunct/>
        <w:topLinePunct w:val="0"/>
        <w:autoSpaceDE/>
        <w:autoSpaceDN/>
        <w:bidi w:val="0"/>
        <w:adjustRightInd/>
        <w:snapToGrid/>
        <w:spacing w:before="0" w:beforeLines="0" w:after="0" w:afterLines="0"/>
        <w:jc w:val="center"/>
        <w:textAlignment w:val="auto"/>
        <w:rPr>
          <w:color w:val="auto"/>
          <w:sz w:val="18"/>
          <w:szCs w:val="18"/>
          <w:highlight w:val="none"/>
        </w:rPr>
      </w:pPr>
      <w:r>
        <w:rPr>
          <w:color w:val="auto"/>
          <w:sz w:val="18"/>
          <w:szCs w:val="18"/>
          <w:highlight w:val="none"/>
        </w:rPr>
        <w:t>表6.</w:t>
      </w:r>
      <w:r>
        <w:rPr>
          <w:rFonts w:hint="eastAsia"/>
          <w:color w:val="auto"/>
          <w:sz w:val="18"/>
          <w:szCs w:val="18"/>
          <w:highlight w:val="none"/>
          <w:lang w:val="en-US" w:eastAsia="zh-CN"/>
        </w:rPr>
        <w:t>1</w:t>
      </w:r>
      <w:r>
        <w:rPr>
          <w:color w:val="auto"/>
          <w:sz w:val="18"/>
          <w:szCs w:val="18"/>
          <w:highlight w:val="none"/>
        </w:rPr>
        <w:t>-</w:t>
      </w:r>
      <w:r>
        <w:rPr>
          <w:rFonts w:hint="eastAsia"/>
          <w:color w:val="auto"/>
          <w:sz w:val="18"/>
          <w:szCs w:val="18"/>
          <w:highlight w:val="none"/>
          <w:lang w:val="en-US" w:eastAsia="zh-CN"/>
        </w:rPr>
        <w:t>2</w:t>
      </w:r>
      <w:r>
        <w:rPr>
          <w:color w:val="auto"/>
          <w:sz w:val="18"/>
          <w:szCs w:val="18"/>
          <w:highlight w:val="none"/>
        </w:rPr>
        <w:t xml:space="preserve"> 宁夏地区主要作物的地下水位下降速度设计指标</w:t>
      </w:r>
    </w:p>
    <w:tbl>
      <w:tblPr>
        <w:tblStyle w:val="34"/>
        <w:tblW w:w="710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046"/>
        <w:gridCol w:w="1609"/>
        <w:gridCol w:w="1622"/>
        <w:gridCol w:w="2108"/>
        <w:gridCol w:w="724"/>
      </w:tblGrid>
      <w:tr w14:paraId="796079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46" w:type="dxa"/>
            <w:tcBorders>
              <w:top w:val="single" w:color="auto" w:sz="8" w:space="0"/>
              <w:bottom w:val="single" w:color="auto" w:sz="8" w:space="0"/>
            </w:tcBorders>
            <w:vAlign w:val="top"/>
          </w:tcPr>
          <w:p w14:paraId="2CAF2911">
            <w:pPr>
              <w:pStyle w:val="25"/>
              <w:ind w:firstLine="0" w:firstLineChars="0"/>
              <w:jc w:val="center"/>
              <w:rPr>
                <w:rFonts w:hAnsi="宋体"/>
                <w:color w:val="auto"/>
                <w:sz w:val="18"/>
                <w:szCs w:val="18"/>
                <w:highlight w:val="none"/>
              </w:rPr>
            </w:pPr>
            <w:r>
              <w:rPr>
                <w:rFonts w:hAnsi="宋体"/>
                <w:color w:val="auto"/>
                <w:sz w:val="18"/>
                <w:szCs w:val="18"/>
                <w:highlight w:val="none"/>
              </w:rPr>
              <w:t>作物</w:t>
            </w:r>
          </w:p>
        </w:tc>
        <w:tc>
          <w:tcPr>
            <w:tcW w:w="1609" w:type="dxa"/>
            <w:tcBorders>
              <w:top w:val="single" w:color="auto" w:sz="8" w:space="0"/>
              <w:bottom w:val="single" w:color="auto" w:sz="8" w:space="0"/>
            </w:tcBorders>
            <w:vAlign w:val="top"/>
          </w:tcPr>
          <w:p w14:paraId="15D19179">
            <w:pPr>
              <w:pStyle w:val="25"/>
              <w:ind w:firstLine="0" w:firstLineChars="0"/>
              <w:jc w:val="center"/>
              <w:rPr>
                <w:rFonts w:hAnsi="宋体"/>
                <w:color w:val="auto"/>
                <w:sz w:val="18"/>
                <w:szCs w:val="18"/>
                <w:highlight w:val="none"/>
              </w:rPr>
            </w:pPr>
            <w:r>
              <w:rPr>
                <w:rFonts w:hAnsi="宋体"/>
                <w:color w:val="auto"/>
                <w:sz w:val="18"/>
                <w:szCs w:val="18"/>
                <w:highlight w:val="none"/>
              </w:rPr>
              <w:t>设计控制阶段</w:t>
            </w:r>
          </w:p>
        </w:tc>
        <w:tc>
          <w:tcPr>
            <w:tcW w:w="1622" w:type="dxa"/>
            <w:tcBorders>
              <w:top w:val="single" w:color="auto" w:sz="8" w:space="0"/>
              <w:bottom w:val="single" w:color="auto" w:sz="8" w:space="0"/>
            </w:tcBorders>
            <w:vAlign w:val="top"/>
          </w:tcPr>
          <w:p w14:paraId="28CF276F">
            <w:pPr>
              <w:pStyle w:val="25"/>
              <w:ind w:firstLine="0" w:firstLineChars="0"/>
              <w:jc w:val="center"/>
              <w:rPr>
                <w:rFonts w:hAnsi="宋体"/>
                <w:color w:val="auto"/>
                <w:sz w:val="18"/>
                <w:szCs w:val="18"/>
                <w:highlight w:val="none"/>
              </w:rPr>
            </w:pPr>
            <w:r>
              <w:rPr>
                <w:rFonts w:hAnsi="宋体"/>
                <w:color w:val="auto"/>
                <w:sz w:val="18"/>
                <w:szCs w:val="18"/>
                <w:highlight w:val="none"/>
              </w:rPr>
              <w:t>允许排水时间（d）</w:t>
            </w:r>
          </w:p>
        </w:tc>
        <w:tc>
          <w:tcPr>
            <w:tcW w:w="2108" w:type="dxa"/>
            <w:tcBorders>
              <w:top w:val="single" w:color="auto" w:sz="8" w:space="0"/>
              <w:bottom w:val="single" w:color="auto" w:sz="8" w:space="0"/>
            </w:tcBorders>
            <w:vAlign w:val="top"/>
          </w:tcPr>
          <w:p w14:paraId="3BAC2840">
            <w:pPr>
              <w:pStyle w:val="25"/>
              <w:ind w:firstLine="0" w:firstLineChars="0"/>
              <w:jc w:val="center"/>
              <w:rPr>
                <w:rFonts w:hAnsi="宋体"/>
                <w:color w:val="auto"/>
                <w:sz w:val="18"/>
                <w:szCs w:val="18"/>
                <w:highlight w:val="none"/>
              </w:rPr>
            </w:pPr>
            <w:r>
              <w:rPr>
                <w:rFonts w:hAnsi="宋体"/>
                <w:color w:val="auto"/>
                <w:sz w:val="18"/>
                <w:szCs w:val="18"/>
                <w:highlight w:val="none"/>
              </w:rPr>
              <w:t>达到的地下水位埋深（m）</w:t>
            </w:r>
          </w:p>
        </w:tc>
        <w:tc>
          <w:tcPr>
            <w:tcW w:w="724" w:type="dxa"/>
            <w:tcBorders>
              <w:top w:val="single" w:color="auto" w:sz="8" w:space="0"/>
              <w:bottom w:val="single" w:color="auto" w:sz="8" w:space="0"/>
            </w:tcBorders>
            <w:vAlign w:val="top"/>
          </w:tcPr>
          <w:p w14:paraId="60960829">
            <w:pPr>
              <w:pStyle w:val="25"/>
              <w:ind w:firstLine="0" w:firstLineChars="0"/>
              <w:jc w:val="center"/>
              <w:rPr>
                <w:rFonts w:hAnsi="宋体"/>
                <w:color w:val="auto"/>
                <w:sz w:val="18"/>
                <w:szCs w:val="18"/>
                <w:highlight w:val="none"/>
              </w:rPr>
            </w:pPr>
            <w:r>
              <w:rPr>
                <w:rFonts w:hAnsi="宋体"/>
                <w:color w:val="auto"/>
                <w:sz w:val="18"/>
                <w:szCs w:val="22"/>
                <w:highlight w:val="none"/>
              </w:rPr>
              <w:t>备注</w:t>
            </w:r>
          </w:p>
        </w:tc>
      </w:tr>
      <w:tr w14:paraId="077EBB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46" w:type="dxa"/>
            <w:tcBorders>
              <w:top w:val="single" w:color="auto" w:sz="8" w:space="0"/>
            </w:tcBorders>
            <w:vAlign w:val="top"/>
          </w:tcPr>
          <w:p w14:paraId="774D55B6">
            <w:pPr>
              <w:pStyle w:val="25"/>
              <w:ind w:firstLine="0" w:firstLineChars="0"/>
              <w:jc w:val="center"/>
              <w:rPr>
                <w:rFonts w:hAnsi="宋体"/>
                <w:color w:val="auto"/>
                <w:sz w:val="18"/>
                <w:szCs w:val="18"/>
                <w:highlight w:val="none"/>
              </w:rPr>
            </w:pPr>
            <w:r>
              <w:rPr>
                <w:rFonts w:hAnsi="宋体"/>
                <w:color w:val="auto"/>
                <w:sz w:val="18"/>
                <w:szCs w:val="18"/>
                <w:highlight w:val="none"/>
              </w:rPr>
              <w:t>小麦</w:t>
            </w:r>
          </w:p>
        </w:tc>
        <w:tc>
          <w:tcPr>
            <w:tcW w:w="1609" w:type="dxa"/>
            <w:tcBorders>
              <w:top w:val="single" w:color="auto" w:sz="8" w:space="0"/>
            </w:tcBorders>
            <w:vAlign w:val="top"/>
          </w:tcPr>
          <w:p w14:paraId="58AA4FAC">
            <w:pPr>
              <w:pStyle w:val="25"/>
              <w:ind w:firstLine="0" w:firstLineChars="0"/>
              <w:jc w:val="center"/>
              <w:rPr>
                <w:rFonts w:hAnsi="宋体"/>
                <w:color w:val="auto"/>
                <w:sz w:val="18"/>
                <w:szCs w:val="18"/>
                <w:highlight w:val="none"/>
              </w:rPr>
            </w:pPr>
            <w:r>
              <w:rPr>
                <w:rFonts w:hAnsi="宋体"/>
                <w:color w:val="auto"/>
                <w:sz w:val="18"/>
                <w:szCs w:val="18"/>
                <w:highlight w:val="none"/>
              </w:rPr>
              <w:t>拔节期及以后</w:t>
            </w:r>
          </w:p>
        </w:tc>
        <w:tc>
          <w:tcPr>
            <w:tcW w:w="1622" w:type="dxa"/>
            <w:tcBorders>
              <w:top w:val="single" w:color="auto" w:sz="8" w:space="0"/>
            </w:tcBorders>
            <w:vAlign w:val="top"/>
          </w:tcPr>
          <w:p w14:paraId="3A59A135">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6</w:t>
            </w:r>
          </w:p>
        </w:tc>
        <w:tc>
          <w:tcPr>
            <w:tcW w:w="2108" w:type="dxa"/>
            <w:tcBorders>
              <w:top w:val="single" w:color="auto" w:sz="8" w:space="0"/>
            </w:tcBorders>
            <w:vAlign w:val="top"/>
          </w:tcPr>
          <w:p w14:paraId="5A54D11A">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0.8</w:t>
            </w:r>
            <w:r>
              <w:rPr>
                <w:rFonts w:hint="default" w:ascii="Times New Roman" w:hAns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1.0</w:t>
            </w:r>
          </w:p>
        </w:tc>
        <w:tc>
          <w:tcPr>
            <w:tcW w:w="724" w:type="dxa"/>
            <w:tcBorders>
              <w:top w:val="single" w:color="auto" w:sz="8" w:space="0"/>
            </w:tcBorders>
            <w:vAlign w:val="top"/>
          </w:tcPr>
          <w:p w14:paraId="286EF6FF">
            <w:pPr>
              <w:pStyle w:val="25"/>
              <w:ind w:firstLine="0" w:firstLineChars="0"/>
              <w:jc w:val="center"/>
              <w:rPr>
                <w:rFonts w:hAnsi="宋体"/>
                <w:color w:val="auto"/>
                <w:sz w:val="18"/>
                <w:szCs w:val="18"/>
                <w:highlight w:val="none"/>
              </w:rPr>
            </w:pPr>
          </w:p>
        </w:tc>
      </w:tr>
      <w:tr w14:paraId="5F70A18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46" w:type="dxa"/>
            <w:vAlign w:val="top"/>
          </w:tcPr>
          <w:p w14:paraId="3D183D99">
            <w:pPr>
              <w:pStyle w:val="25"/>
              <w:ind w:firstLine="0" w:firstLineChars="0"/>
              <w:jc w:val="center"/>
              <w:rPr>
                <w:rFonts w:hAnsi="宋体"/>
                <w:color w:val="auto"/>
                <w:sz w:val="18"/>
                <w:szCs w:val="18"/>
                <w:highlight w:val="none"/>
              </w:rPr>
            </w:pPr>
            <w:r>
              <w:rPr>
                <w:rFonts w:hAnsi="宋体"/>
                <w:color w:val="auto"/>
                <w:sz w:val="18"/>
                <w:szCs w:val="18"/>
                <w:highlight w:val="none"/>
              </w:rPr>
              <w:t>水稻</w:t>
            </w:r>
          </w:p>
        </w:tc>
        <w:tc>
          <w:tcPr>
            <w:tcW w:w="1609" w:type="dxa"/>
            <w:vAlign w:val="top"/>
          </w:tcPr>
          <w:p w14:paraId="7B94DC43">
            <w:pPr>
              <w:pStyle w:val="25"/>
              <w:ind w:firstLine="0" w:firstLineChars="0"/>
              <w:jc w:val="center"/>
              <w:rPr>
                <w:rFonts w:hAnsi="宋体"/>
                <w:color w:val="auto"/>
                <w:sz w:val="18"/>
                <w:szCs w:val="18"/>
                <w:highlight w:val="none"/>
              </w:rPr>
            </w:pPr>
            <w:r>
              <w:rPr>
                <w:rFonts w:hAnsi="宋体"/>
                <w:color w:val="auto"/>
                <w:sz w:val="18"/>
                <w:szCs w:val="18"/>
                <w:highlight w:val="none"/>
              </w:rPr>
              <w:t>晒田期</w:t>
            </w:r>
          </w:p>
        </w:tc>
        <w:tc>
          <w:tcPr>
            <w:tcW w:w="1622" w:type="dxa"/>
            <w:vAlign w:val="top"/>
          </w:tcPr>
          <w:p w14:paraId="7A9AB44B">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5</w:t>
            </w:r>
          </w:p>
        </w:tc>
        <w:tc>
          <w:tcPr>
            <w:tcW w:w="2108" w:type="dxa"/>
            <w:vAlign w:val="top"/>
          </w:tcPr>
          <w:p w14:paraId="78FE0D4D">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0.4</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0.6</w:t>
            </w:r>
          </w:p>
        </w:tc>
        <w:tc>
          <w:tcPr>
            <w:tcW w:w="724" w:type="dxa"/>
            <w:vAlign w:val="top"/>
          </w:tcPr>
          <w:p w14:paraId="51ADF356">
            <w:pPr>
              <w:pStyle w:val="25"/>
              <w:ind w:firstLine="0" w:firstLineChars="0"/>
              <w:jc w:val="center"/>
              <w:rPr>
                <w:rFonts w:hAnsi="宋体"/>
                <w:color w:val="auto"/>
                <w:sz w:val="18"/>
                <w:szCs w:val="18"/>
                <w:highlight w:val="none"/>
              </w:rPr>
            </w:pPr>
          </w:p>
        </w:tc>
      </w:tr>
      <w:tr w14:paraId="243936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46" w:type="dxa"/>
            <w:vAlign w:val="top"/>
          </w:tcPr>
          <w:p w14:paraId="1A326CAF">
            <w:pPr>
              <w:pStyle w:val="25"/>
              <w:ind w:firstLine="0" w:firstLineChars="0"/>
              <w:jc w:val="center"/>
              <w:rPr>
                <w:rFonts w:hAnsi="宋体"/>
                <w:color w:val="auto"/>
                <w:sz w:val="18"/>
                <w:szCs w:val="18"/>
                <w:highlight w:val="none"/>
              </w:rPr>
            </w:pPr>
            <w:r>
              <w:rPr>
                <w:rFonts w:hAnsi="宋体"/>
                <w:color w:val="auto"/>
                <w:sz w:val="18"/>
                <w:szCs w:val="18"/>
                <w:highlight w:val="none"/>
              </w:rPr>
              <w:t>玉米</w:t>
            </w:r>
          </w:p>
        </w:tc>
        <w:tc>
          <w:tcPr>
            <w:tcW w:w="1609" w:type="dxa"/>
            <w:vAlign w:val="top"/>
          </w:tcPr>
          <w:p w14:paraId="36448A5A">
            <w:pPr>
              <w:pStyle w:val="25"/>
              <w:ind w:firstLine="0" w:firstLineChars="0"/>
              <w:jc w:val="center"/>
              <w:rPr>
                <w:rFonts w:hAnsi="宋体"/>
                <w:color w:val="auto"/>
                <w:sz w:val="18"/>
                <w:szCs w:val="18"/>
                <w:highlight w:val="none"/>
              </w:rPr>
            </w:pPr>
            <w:r>
              <w:rPr>
                <w:rFonts w:hAnsi="宋体"/>
                <w:color w:val="auto"/>
                <w:sz w:val="18"/>
                <w:szCs w:val="18"/>
                <w:highlight w:val="none"/>
              </w:rPr>
              <w:t>抽穗、灌浆</w:t>
            </w:r>
          </w:p>
        </w:tc>
        <w:tc>
          <w:tcPr>
            <w:tcW w:w="1622" w:type="dxa"/>
            <w:vAlign w:val="top"/>
          </w:tcPr>
          <w:p w14:paraId="3196CBD7">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4</w:t>
            </w:r>
          </w:p>
        </w:tc>
        <w:tc>
          <w:tcPr>
            <w:tcW w:w="2108" w:type="dxa"/>
            <w:vAlign w:val="top"/>
          </w:tcPr>
          <w:p w14:paraId="13AA1068">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1.3</w:t>
            </w:r>
          </w:p>
        </w:tc>
        <w:tc>
          <w:tcPr>
            <w:tcW w:w="724" w:type="dxa"/>
            <w:vAlign w:val="top"/>
          </w:tcPr>
          <w:p w14:paraId="4F3CCDB0">
            <w:pPr>
              <w:pStyle w:val="25"/>
              <w:ind w:firstLine="0" w:firstLineChars="0"/>
              <w:jc w:val="center"/>
              <w:rPr>
                <w:rFonts w:hAnsi="宋体"/>
                <w:color w:val="auto"/>
                <w:sz w:val="18"/>
                <w:szCs w:val="18"/>
                <w:highlight w:val="none"/>
              </w:rPr>
            </w:pPr>
          </w:p>
        </w:tc>
      </w:tr>
      <w:tr w14:paraId="3B1E6C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46" w:type="dxa"/>
            <w:tcBorders>
              <w:bottom w:val="single" w:color="auto" w:sz="4" w:space="0"/>
            </w:tcBorders>
            <w:vAlign w:val="top"/>
          </w:tcPr>
          <w:p w14:paraId="294D5EA7">
            <w:pPr>
              <w:pStyle w:val="25"/>
              <w:ind w:firstLine="0" w:firstLineChars="0"/>
              <w:jc w:val="center"/>
              <w:rPr>
                <w:rFonts w:hAnsi="宋体"/>
                <w:color w:val="auto"/>
                <w:sz w:val="18"/>
                <w:szCs w:val="18"/>
                <w:highlight w:val="none"/>
              </w:rPr>
            </w:pPr>
            <w:r>
              <w:rPr>
                <w:rFonts w:hAnsi="宋体"/>
                <w:color w:val="auto"/>
                <w:sz w:val="18"/>
                <w:szCs w:val="18"/>
                <w:highlight w:val="none"/>
              </w:rPr>
              <w:t>枸杞</w:t>
            </w:r>
          </w:p>
        </w:tc>
        <w:tc>
          <w:tcPr>
            <w:tcW w:w="1609" w:type="dxa"/>
            <w:tcBorders>
              <w:bottom w:val="single" w:color="auto" w:sz="4" w:space="0"/>
            </w:tcBorders>
            <w:vAlign w:val="top"/>
          </w:tcPr>
          <w:p w14:paraId="7CB8FE2F">
            <w:pPr>
              <w:pStyle w:val="25"/>
              <w:ind w:firstLine="0" w:firstLineChars="0"/>
              <w:jc w:val="center"/>
              <w:rPr>
                <w:rFonts w:hAnsi="宋体"/>
                <w:color w:val="auto"/>
                <w:sz w:val="18"/>
                <w:szCs w:val="18"/>
                <w:highlight w:val="none"/>
              </w:rPr>
            </w:pPr>
            <w:r>
              <w:rPr>
                <w:rFonts w:hAnsi="宋体"/>
                <w:color w:val="auto"/>
                <w:sz w:val="18"/>
                <w:szCs w:val="18"/>
                <w:highlight w:val="none"/>
              </w:rPr>
              <w:t>夏果期、秋果期</w:t>
            </w:r>
          </w:p>
        </w:tc>
        <w:tc>
          <w:tcPr>
            <w:tcW w:w="1622" w:type="dxa"/>
            <w:tcBorders>
              <w:bottom w:val="single" w:color="auto" w:sz="4" w:space="0"/>
            </w:tcBorders>
            <w:vAlign w:val="top"/>
          </w:tcPr>
          <w:p w14:paraId="1450B69F">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22"/>
                <w:highlight w:val="none"/>
              </w:rPr>
              <w:t>5</w:t>
            </w:r>
            <w:r>
              <w:rPr>
                <w:rFonts w:hint="eastAsia" w:ascii="Times New Roman" w:cs="Times New Roman"/>
                <w:color w:val="auto"/>
                <w:sz w:val="18"/>
                <w:szCs w:val="22"/>
                <w:highlight w:val="none"/>
                <w:lang w:val="en-US" w:eastAsia="zh-CN"/>
              </w:rPr>
              <w:t>~</w:t>
            </w:r>
            <w:r>
              <w:rPr>
                <w:rFonts w:hint="default" w:ascii="Times New Roman" w:hAnsi="Times New Roman" w:cs="Times New Roman"/>
                <w:color w:val="auto"/>
                <w:sz w:val="18"/>
                <w:szCs w:val="22"/>
                <w:highlight w:val="none"/>
              </w:rPr>
              <w:t>7</w:t>
            </w:r>
          </w:p>
        </w:tc>
        <w:tc>
          <w:tcPr>
            <w:tcW w:w="2108" w:type="dxa"/>
            <w:tcBorders>
              <w:bottom w:val="single" w:color="auto" w:sz="4" w:space="0"/>
            </w:tcBorders>
            <w:vAlign w:val="top"/>
          </w:tcPr>
          <w:p w14:paraId="1A629B45">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0.9</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1.5</w:t>
            </w:r>
          </w:p>
        </w:tc>
        <w:tc>
          <w:tcPr>
            <w:tcW w:w="724" w:type="dxa"/>
            <w:tcBorders>
              <w:bottom w:val="single" w:color="auto" w:sz="4" w:space="0"/>
            </w:tcBorders>
            <w:vAlign w:val="top"/>
          </w:tcPr>
          <w:p w14:paraId="7BC0FE08">
            <w:pPr>
              <w:pStyle w:val="25"/>
              <w:ind w:firstLine="0" w:firstLineChars="0"/>
              <w:jc w:val="center"/>
              <w:rPr>
                <w:rFonts w:hAnsi="宋体"/>
                <w:color w:val="auto"/>
                <w:sz w:val="18"/>
                <w:szCs w:val="18"/>
                <w:highlight w:val="none"/>
              </w:rPr>
            </w:pPr>
          </w:p>
        </w:tc>
      </w:tr>
      <w:tr w14:paraId="049E36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46" w:type="dxa"/>
            <w:tcBorders>
              <w:top w:val="single" w:color="auto" w:sz="4" w:space="0"/>
              <w:bottom w:val="single" w:color="auto" w:sz="8" w:space="0"/>
            </w:tcBorders>
            <w:vAlign w:val="top"/>
          </w:tcPr>
          <w:p w14:paraId="1FC8FF98">
            <w:pPr>
              <w:pStyle w:val="25"/>
              <w:ind w:firstLine="0" w:firstLineChars="0"/>
              <w:jc w:val="center"/>
              <w:rPr>
                <w:rFonts w:hAnsi="宋体"/>
                <w:color w:val="auto"/>
                <w:sz w:val="18"/>
                <w:szCs w:val="18"/>
                <w:highlight w:val="none"/>
              </w:rPr>
            </w:pPr>
            <w:r>
              <w:rPr>
                <w:rFonts w:hAnsi="宋体"/>
                <w:color w:val="auto"/>
                <w:sz w:val="18"/>
                <w:szCs w:val="18"/>
                <w:highlight w:val="none"/>
              </w:rPr>
              <w:t>葡萄</w:t>
            </w:r>
          </w:p>
        </w:tc>
        <w:tc>
          <w:tcPr>
            <w:tcW w:w="1609" w:type="dxa"/>
            <w:tcBorders>
              <w:top w:val="single" w:color="auto" w:sz="4" w:space="0"/>
              <w:bottom w:val="single" w:color="auto" w:sz="8" w:space="0"/>
            </w:tcBorders>
            <w:vAlign w:val="top"/>
          </w:tcPr>
          <w:p w14:paraId="690DBF3F">
            <w:pPr>
              <w:pStyle w:val="25"/>
              <w:ind w:firstLine="0" w:firstLineChars="0"/>
              <w:jc w:val="center"/>
              <w:rPr>
                <w:rFonts w:hAnsi="宋体"/>
                <w:color w:val="auto"/>
                <w:sz w:val="18"/>
                <w:szCs w:val="18"/>
                <w:highlight w:val="none"/>
              </w:rPr>
            </w:pPr>
          </w:p>
        </w:tc>
        <w:tc>
          <w:tcPr>
            <w:tcW w:w="1622" w:type="dxa"/>
            <w:tcBorders>
              <w:top w:val="single" w:color="auto" w:sz="4" w:space="0"/>
              <w:bottom w:val="single" w:color="auto" w:sz="8" w:space="0"/>
            </w:tcBorders>
            <w:vAlign w:val="top"/>
          </w:tcPr>
          <w:p w14:paraId="11B88494">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5</w:t>
            </w:r>
          </w:p>
        </w:tc>
        <w:tc>
          <w:tcPr>
            <w:tcW w:w="2108" w:type="dxa"/>
            <w:tcBorders>
              <w:top w:val="single" w:color="auto" w:sz="4" w:space="0"/>
              <w:bottom w:val="single" w:color="auto" w:sz="8" w:space="0"/>
            </w:tcBorders>
            <w:vAlign w:val="top"/>
          </w:tcPr>
          <w:p w14:paraId="34AF554E">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1.0</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1.5</w:t>
            </w:r>
          </w:p>
        </w:tc>
        <w:tc>
          <w:tcPr>
            <w:tcW w:w="724" w:type="dxa"/>
            <w:tcBorders>
              <w:top w:val="single" w:color="auto" w:sz="4" w:space="0"/>
              <w:bottom w:val="single" w:color="auto" w:sz="8" w:space="0"/>
            </w:tcBorders>
            <w:vAlign w:val="top"/>
          </w:tcPr>
          <w:p w14:paraId="1031E13D">
            <w:pPr>
              <w:pStyle w:val="25"/>
              <w:ind w:firstLine="0" w:firstLineChars="0"/>
              <w:jc w:val="center"/>
              <w:rPr>
                <w:rFonts w:hAnsi="宋体"/>
                <w:color w:val="auto"/>
                <w:sz w:val="18"/>
                <w:szCs w:val="18"/>
                <w:highlight w:val="none"/>
              </w:rPr>
            </w:pPr>
          </w:p>
        </w:tc>
      </w:tr>
      <w:tr w14:paraId="41E934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46" w:type="dxa"/>
            <w:tcBorders>
              <w:top w:val="single" w:color="auto" w:sz="8" w:space="0"/>
            </w:tcBorders>
            <w:vAlign w:val="top"/>
          </w:tcPr>
          <w:p w14:paraId="28753D75">
            <w:pPr>
              <w:pStyle w:val="25"/>
              <w:ind w:firstLine="0" w:firstLineChars="0"/>
              <w:jc w:val="center"/>
              <w:rPr>
                <w:rFonts w:hAnsi="宋体"/>
                <w:color w:val="auto"/>
                <w:sz w:val="18"/>
                <w:szCs w:val="18"/>
                <w:highlight w:val="none"/>
              </w:rPr>
            </w:pPr>
            <w:r>
              <w:rPr>
                <w:rFonts w:hAnsi="宋体"/>
                <w:color w:val="auto"/>
                <w:sz w:val="18"/>
                <w:szCs w:val="18"/>
                <w:highlight w:val="none"/>
              </w:rPr>
              <w:t>蔬菜</w:t>
            </w:r>
          </w:p>
        </w:tc>
        <w:tc>
          <w:tcPr>
            <w:tcW w:w="1609" w:type="dxa"/>
            <w:tcBorders>
              <w:top w:val="single" w:color="auto" w:sz="8" w:space="0"/>
            </w:tcBorders>
            <w:vAlign w:val="top"/>
          </w:tcPr>
          <w:p w14:paraId="309C7421">
            <w:pPr>
              <w:pStyle w:val="25"/>
              <w:ind w:firstLine="0" w:firstLineChars="0"/>
              <w:jc w:val="center"/>
              <w:rPr>
                <w:rFonts w:hAnsi="宋体"/>
                <w:color w:val="auto"/>
                <w:sz w:val="18"/>
                <w:szCs w:val="18"/>
                <w:highlight w:val="none"/>
              </w:rPr>
            </w:pPr>
          </w:p>
        </w:tc>
        <w:tc>
          <w:tcPr>
            <w:tcW w:w="1622" w:type="dxa"/>
            <w:tcBorders>
              <w:top w:val="single" w:color="auto" w:sz="8" w:space="0"/>
            </w:tcBorders>
            <w:vAlign w:val="top"/>
          </w:tcPr>
          <w:p w14:paraId="7F5BF91B">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4</w:t>
            </w:r>
          </w:p>
        </w:tc>
        <w:tc>
          <w:tcPr>
            <w:tcW w:w="2108" w:type="dxa"/>
            <w:tcBorders>
              <w:top w:val="single" w:color="auto" w:sz="8" w:space="0"/>
            </w:tcBorders>
            <w:vAlign w:val="top"/>
          </w:tcPr>
          <w:p w14:paraId="622599D6">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0.6</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0.9</w:t>
            </w:r>
          </w:p>
        </w:tc>
        <w:tc>
          <w:tcPr>
            <w:tcW w:w="724" w:type="dxa"/>
            <w:tcBorders>
              <w:top w:val="single" w:color="auto" w:sz="8" w:space="0"/>
            </w:tcBorders>
            <w:vAlign w:val="top"/>
          </w:tcPr>
          <w:p w14:paraId="6CAACE58">
            <w:pPr>
              <w:pStyle w:val="25"/>
              <w:ind w:firstLine="0" w:firstLineChars="0"/>
              <w:jc w:val="center"/>
              <w:rPr>
                <w:rFonts w:hAnsi="宋体"/>
                <w:color w:val="auto"/>
                <w:sz w:val="18"/>
                <w:szCs w:val="18"/>
                <w:highlight w:val="none"/>
              </w:rPr>
            </w:pPr>
          </w:p>
        </w:tc>
      </w:tr>
      <w:tr w14:paraId="422778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046" w:type="dxa"/>
            <w:vAlign w:val="top"/>
          </w:tcPr>
          <w:p w14:paraId="59B04511">
            <w:pPr>
              <w:pStyle w:val="25"/>
              <w:ind w:firstLine="0" w:firstLineChars="0"/>
              <w:jc w:val="center"/>
              <w:rPr>
                <w:rFonts w:hAnsi="宋体"/>
                <w:color w:val="auto"/>
                <w:sz w:val="18"/>
                <w:szCs w:val="18"/>
                <w:highlight w:val="none"/>
              </w:rPr>
            </w:pPr>
            <w:r>
              <w:rPr>
                <w:rFonts w:hAnsi="宋体"/>
                <w:color w:val="auto"/>
                <w:sz w:val="18"/>
                <w:szCs w:val="18"/>
                <w:highlight w:val="none"/>
              </w:rPr>
              <w:t>马铃薯</w:t>
            </w:r>
          </w:p>
        </w:tc>
        <w:tc>
          <w:tcPr>
            <w:tcW w:w="1609" w:type="dxa"/>
            <w:vAlign w:val="top"/>
          </w:tcPr>
          <w:p w14:paraId="6BC1B5D0">
            <w:pPr>
              <w:pStyle w:val="25"/>
              <w:ind w:firstLine="0" w:firstLineChars="0"/>
              <w:jc w:val="center"/>
              <w:rPr>
                <w:rFonts w:hAnsi="宋体"/>
                <w:color w:val="auto"/>
                <w:sz w:val="18"/>
                <w:szCs w:val="18"/>
                <w:highlight w:val="none"/>
              </w:rPr>
            </w:pPr>
            <w:r>
              <w:rPr>
                <w:rFonts w:hAnsi="宋体"/>
                <w:color w:val="auto"/>
                <w:sz w:val="18"/>
                <w:szCs w:val="18"/>
                <w:highlight w:val="none"/>
              </w:rPr>
              <w:t>开花期</w:t>
            </w:r>
          </w:p>
        </w:tc>
        <w:tc>
          <w:tcPr>
            <w:tcW w:w="1622" w:type="dxa"/>
            <w:vAlign w:val="top"/>
          </w:tcPr>
          <w:p w14:paraId="5B02723E">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6</w:t>
            </w:r>
          </w:p>
        </w:tc>
        <w:tc>
          <w:tcPr>
            <w:tcW w:w="2108" w:type="dxa"/>
            <w:vAlign w:val="top"/>
          </w:tcPr>
          <w:p w14:paraId="7569BAAC">
            <w:pPr>
              <w:pStyle w:val="25"/>
              <w:ind w:firstLine="0" w:firstLineChars="0"/>
              <w:jc w:val="center"/>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0.5</w:t>
            </w:r>
            <w:r>
              <w:rPr>
                <w:rFonts w:hint="eastAsia" w:ascii="Times New Roman" w:cs="Times New Roman"/>
                <w:color w:val="auto"/>
                <w:sz w:val="18"/>
                <w:szCs w:val="18"/>
                <w:highlight w:val="none"/>
                <w:lang w:val="en-US" w:eastAsia="zh-CN"/>
              </w:rPr>
              <w:t>~</w:t>
            </w:r>
            <w:r>
              <w:rPr>
                <w:rFonts w:hint="default" w:ascii="Times New Roman" w:hAnsi="Times New Roman" w:cs="Times New Roman"/>
                <w:color w:val="auto"/>
                <w:sz w:val="18"/>
                <w:szCs w:val="18"/>
                <w:highlight w:val="none"/>
              </w:rPr>
              <w:t>1.1</w:t>
            </w:r>
          </w:p>
        </w:tc>
        <w:tc>
          <w:tcPr>
            <w:tcW w:w="724" w:type="dxa"/>
            <w:vAlign w:val="top"/>
          </w:tcPr>
          <w:p w14:paraId="24A110A0">
            <w:pPr>
              <w:pStyle w:val="25"/>
              <w:ind w:firstLine="0" w:firstLineChars="0"/>
              <w:jc w:val="center"/>
              <w:rPr>
                <w:rFonts w:hAnsi="宋体"/>
                <w:color w:val="auto"/>
                <w:sz w:val="18"/>
                <w:szCs w:val="18"/>
                <w:highlight w:val="none"/>
              </w:rPr>
            </w:pPr>
          </w:p>
        </w:tc>
      </w:tr>
    </w:tbl>
    <w:p w14:paraId="73D5E571">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leftChars="0"/>
        <w:textAlignment w:val="auto"/>
        <w:rPr>
          <w:rFonts w:hint="eastAsia"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6.1.4 防治</w:t>
      </w:r>
      <w:r>
        <w:rPr>
          <w:rFonts w:hint="eastAsia" w:ascii="黑体" w:hAnsi="黑体" w:eastAsia="黑体" w:cs="黑体"/>
          <w:color w:val="auto"/>
          <w:highlight w:val="none"/>
          <w:lang w:val="en-US" w:eastAsia="zh-CN"/>
        </w:rPr>
        <w:t>盐碱化标准</w:t>
      </w:r>
    </w:p>
    <w:p w14:paraId="041CF83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lang w:val="en-US" w:eastAsia="zh-CN"/>
        </w:rPr>
      </w:pPr>
      <w:r>
        <w:rPr>
          <w:color w:val="auto"/>
          <w:highlight w:val="none"/>
        </w:rPr>
        <w:t>防治盐碱化的排水标准的确定应符合</w:t>
      </w:r>
      <w:r>
        <w:rPr>
          <w:rFonts w:hint="eastAsia"/>
          <w:color w:val="auto"/>
          <w:highlight w:val="none"/>
          <w:lang w:eastAsia="zh-CN"/>
        </w:rPr>
        <w:t>：</w:t>
      </w:r>
      <w:r>
        <w:rPr>
          <w:color w:val="auto"/>
          <w:highlight w:val="none"/>
        </w:rPr>
        <w:t>（</w:t>
      </w:r>
      <w:r>
        <w:rPr>
          <w:rFonts w:hint="eastAsia"/>
          <w:color w:val="auto"/>
          <w:highlight w:val="none"/>
        </w:rPr>
        <w:t>1）</w:t>
      </w:r>
      <w:r>
        <w:rPr>
          <w:color w:val="auto"/>
          <w:highlight w:val="none"/>
        </w:rPr>
        <w:t>以农作物的地下水临界埋深（按附录</w:t>
      </w:r>
      <w:r>
        <w:rPr>
          <w:rFonts w:hint="eastAsia"/>
          <w:color w:val="auto"/>
          <w:highlight w:val="none"/>
          <w:lang w:val="en-US" w:eastAsia="zh-CN"/>
        </w:rPr>
        <w:t>E</w:t>
      </w:r>
      <w:r>
        <w:rPr>
          <w:color w:val="auto"/>
          <w:highlight w:val="none"/>
        </w:rPr>
        <w:t>选用）为工程设计标准，当采用小于临界深度设计时，应通过水盐平衡论证确定</w:t>
      </w:r>
      <w:r>
        <w:rPr>
          <w:rFonts w:hint="eastAsia"/>
          <w:color w:val="auto"/>
          <w:highlight w:val="none"/>
        </w:rPr>
        <w:t>；（2）</w:t>
      </w:r>
      <w:r>
        <w:rPr>
          <w:rFonts w:hint="eastAsia"/>
          <w:color w:val="auto"/>
          <w:highlight w:val="none"/>
          <w:lang w:val="en-US" w:eastAsia="zh-CN"/>
        </w:rPr>
        <w:t>在春、秋返盐季节应将地下水位控制在临界埋深以下；（3）预防</w:t>
      </w:r>
      <w:r>
        <w:rPr>
          <w:color w:val="auto"/>
          <w:highlight w:val="none"/>
        </w:rPr>
        <w:t>盐碱化</w:t>
      </w:r>
      <w:r>
        <w:rPr>
          <w:rFonts w:hint="eastAsia"/>
          <w:color w:val="auto"/>
          <w:highlight w:val="none"/>
          <w:lang w:val="en-US" w:eastAsia="zh-CN"/>
        </w:rPr>
        <w:t>地区土壤根层含盐量不超过作物耐盐能力，作物耐盐能力应通过试验确定，缺乏试验资料时可参照附录G确定；（4）冲洗改良盐碱土地区，应满足设计土层内达到脱盐要求。</w:t>
      </w:r>
    </w:p>
    <w:p w14:paraId="0285587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防治盐碱化排水模数</w:t>
      </w:r>
      <w:r>
        <w:rPr>
          <w:rFonts w:hint="eastAsia"/>
          <w:color w:val="auto"/>
          <w:highlight w:val="none"/>
          <w:lang w:val="en-US" w:eastAsia="zh-CN"/>
        </w:rPr>
        <w:t>可按</w:t>
      </w:r>
      <w:r>
        <w:rPr>
          <w:color w:val="auto"/>
          <w:highlight w:val="none"/>
        </w:rPr>
        <w:t>下式确定</w:t>
      </w:r>
      <w:r>
        <w:rPr>
          <w:rFonts w:hint="eastAsia"/>
          <w:color w:val="auto"/>
          <w:highlight w:val="none"/>
        </w:rPr>
        <w:t>：</w:t>
      </w:r>
    </w:p>
    <w:p w14:paraId="7587C5E8">
      <w:pPr>
        <w:pStyle w:val="155"/>
        <w:jc w:val="right"/>
        <w:rPr>
          <w:rFonts w:hint="eastAsia"/>
          <w:color w:val="auto"/>
          <w:highlight w:val="none"/>
        </w:rPr>
      </w:pPr>
      <w:r>
        <w:rPr>
          <w:rFonts w:hint="eastAsia"/>
          <w:color w:val="auto"/>
          <w:highlight w:val="none"/>
          <w:lang w:val="en-US" w:eastAsia="zh-CN"/>
        </w:rPr>
        <w:t xml:space="preserve">                            </w:t>
      </w:r>
      <w:r>
        <w:rPr>
          <w:color w:val="auto"/>
          <w:position w:val="-24"/>
          <w:highlight w:val="none"/>
        </w:rPr>
        <w:object>
          <v:shape id="_x0000_i1029" o:spt="75" type="#_x0000_t75" style="height:30.65pt;width:116.05pt;" o:ole="t" filled="f" o:preferrelative="t" stroked="f" coordsize="21600,21600">
            <v:path/>
            <v:fill on="f" focussize="0,0"/>
            <v:stroke on="f"/>
            <v:imagedata r:id="rId21" o:title=""/>
            <o:lock v:ext="edit" aspectratio="t"/>
            <w10:wrap type="none"/>
            <w10:anchorlock/>
          </v:shape>
          <o:OLEObject Type="Embed" ProgID="Equation.3" ShapeID="_x0000_i1029" DrawAspect="Content" ObjectID="_1468075729" r:id="rId20">
            <o:LockedField>false</o:LockedField>
          </o:OLEObject>
        </w:object>
      </w:r>
      <w:r>
        <w:rPr>
          <w:rFonts w:hint="eastAsia"/>
          <w:color w:val="auto"/>
          <w:highlight w:val="none"/>
        </w:rPr>
        <w:t xml:space="preserve">  </w:t>
      </w:r>
      <w:r>
        <w:rPr>
          <w:rFonts w:hint="eastAsia"/>
          <w:color w:val="auto"/>
          <w:highlight w:val="none"/>
          <w:lang w:val="en-US" w:eastAsia="zh-CN"/>
        </w:rPr>
        <w:t xml:space="preserve">                       </w:t>
      </w:r>
      <w:r>
        <w:rPr>
          <w:rFonts w:hint="eastAsia"/>
          <w:color w:val="auto"/>
          <w:highlight w:val="none"/>
        </w:rPr>
        <w:t>（</w:t>
      </w:r>
      <w:r>
        <w:rPr>
          <w:color w:val="auto"/>
          <w:highlight w:val="none"/>
        </w:rPr>
        <w:t>6.</w:t>
      </w:r>
      <w:r>
        <w:rPr>
          <w:rFonts w:hint="eastAsia"/>
          <w:color w:val="auto"/>
          <w:highlight w:val="none"/>
          <w:lang w:val="en-US" w:eastAsia="zh-CN"/>
        </w:rPr>
        <w:t>1</w:t>
      </w:r>
      <w:r>
        <w:rPr>
          <w:color w:val="auto"/>
          <w:highlight w:val="none"/>
        </w:rPr>
        <w:t>-</w:t>
      </w:r>
      <w:r>
        <w:rPr>
          <w:rFonts w:hint="eastAsia"/>
          <w:color w:val="auto"/>
          <w:highlight w:val="none"/>
          <w:lang w:val="en-US" w:eastAsia="zh-CN"/>
        </w:rPr>
        <w:t>5</w:t>
      </w:r>
      <w:r>
        <w:rPr>
          <w:rFonts w:hint="eastAsia"/>
          <w:color w:val="auto"/>
          <w:highlight w:val="none"/>
        </w:rPr>
        <w:t>）</w:t>
      </w:r>
    </w:p>
    <w:p w14:paraId="20E2B499">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highlight w:val="none"/>
        </w:rPr>
      </w:pPr>
      <w:r>
        <w:rPr>
          <w:rFonts w:ascii="Times New Roman"/>
          <w:color w:val="auto"/>
          <w:highlight w:val="none"/>
        </w:rPr>
        <w:t>式中</w:t>
      </w:r>
      <w:r>
        <w:rPr>
          <w:rFonts w:hint="eastAsia" w:ascii="Times New Roman"/>
          <w:color w:val="auto"/>
          <w:highlight w:val="none"/>
        </w:rPr>
        <w:t>：</w:t>
      </w:r>
    </w:p>
    <w:p w14:paraId="03C89641">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highlight w:val="none"/>
        </w:rPr>
      </w:pPr>
      <w:r>
        <w:rPr>
          <w:rFonts w:hint="eastAsia" w:ascii="Times New Roman"/>
          <w:i/>
          <w:iCs/>
          <w:color w:val="auto"/>
          <w:highlight w:val="none"/>
        </w:rPr>
        <w:t>q</w:t>
      </w:r>
      <w:r>
        <w:rPr>
          <w:rFonts w:ascii="Times New Roman"/>
          <w:color w:val="auto"/>
          <w:highlight w:val="none"/>
        </w:rPr>
        <w:t>——调控地下水位要求的排水模数，mm/d；</w:t>
      </w:r>
    </w:p>
    <w:p w14:paraId="4814D6C1">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highlight w:val="none"/>
        </w:rPr>
      </w:pPr>
      <w:r>
        <w:rPr>
          <w:rFonts w:ascii="Times New Roman"/>
          <w:i/>
          <w:iCs/>
          <w:color w:val="auto"/>
          <w:highlight w:val="none"/>
        </w:rPr>
        <w:t>μ</w:t>
      </w:r>
      <w:r>
        <w:rPr>
          <w:rFonts w:ascii="Times New Roman"/>
          <w:color w:val="auto"/>
          <w:highlight w:val="none"/>
        </w:rPr>
        <w:t>——地下水位降深范围内的平均给水度；</w:t>
      </w:r>
    </w:p>
    <w:p w14:paraId="2EC46619">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highlight w:val="none"/>
        </w:rPr>
      </w:pPr>
      <w:r>
        <w:rPr>
          <w:rFonts w:ascii="Times New Roman"/>
          <w:color w:val="auto"/>
          <w:highlight w:val="none"/>
        </w:rPr>
        <w:t>Ω——地下水面修正系数，暗管取0.8；</w:t>
      </w:r>
    </w:p>
    <w:p w14:paraId="15A20B1D">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highlight w:val="none"/>
        </w:rPr>
      </w:pPr>
      <w:r>
        <w:rPr>
          <w:rFonts w:ascii="Times New Roman"/>
          <w:i/>
          <w:iCs/>
          <w:color w:val="auto"/>
          <w:highlight w:val="none"/>
        </w:rPr>
        <w:t>h</w:t>
      </w:r>
      <w:r>
        <w:rPr>
          <w:rFonts w:ascii="Times New Roman"/>
          <w:color w:val="auto"/>
          <w:highlight w:val="none"/>
          <w:vertAlign w:val="subscript"/>
        </w:rPr>
        <w:t>0</w:t>
      </w:r>
      <w:r>
        <w:rPr>
          <w:rFonts w:ascii="Times New Roman"/>
          <w:color w:val="auto"/>
          <w:highlight w:val="none"/>
        </w:rPr>
        <w:t>、</w:t>
      </w:r>
      <w:r>
        <w:rPr>
          <w:rFonts w:ascii="Times New Roman"/>
          <w:i/>
          <w:iCs/>
          <w:color w:val="auto"/>
          <w:highlight w:val="none"/>
        </w:rPr>
        <w:t>h</w:t>
      </w:r>
      <w:r>
        <w:rPr>
          <w:rFonts w:ascii="Times New Roman"/>
          <w:i/>
          <w:iCs/>
          <w:color w:val="auto"/>
          <w:highlight w:val="none"/>
          <w:vertAlign w:val="subscript"/>
        </w:rPr>
        <w:t>t</w:t>
      </w:r>
      <w:r>
        <w:rPr>
          <w:rFonts w:ascii="Times New Roman"/>
          <w:color w:val="auto"/>
          <w:highlight w:val="none"/>
        </w:rPr>
        <w:t>——为</w:t>
      </w:r>
      <w:r>
        <w:rPr>
          <w:rFonts w:ascii="Times New Roman"/>
          <w:i/>
          <w:iCs/>
          <w:color w:val="auto"/>
          <w:highlight w:val="none"/>
        </w:rPr>
        <w:t>t</w:t>
      </w:r>
      <w:r>
        <w:rPr>
          <w:rFonts w:ascii="Times New Roman"/>
          <w:color w:val="auto"/>
          <w:highlight w:val="none"/>
        </w:rPr>
        <w:t>时段始、末地下水位埋深，m；</w:t>
      </w:r>
    </w:p>
    <w:p w14:paraId="768D6257">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highlight w:val="none"/>
        </w:rPr>
      </w:pPr>
      <w:r>
        <w:rPr>
          <w:rFonts w:ascii="Times New Roman"/>
          <w:i/>
          <w:iCs/>
          <w:color w:val="auto"/>
          <w:highlight w:val="none"/>
        </w:rPr>
        <w:t>t</w:t>
      </w:r>
      <w:r>
        <w:rPr>
          <w:rFonts w:ascii="Times New Roman"/>
          <w:color w:val="auto"/>
          <w:highlight w:val="none"/>
        </w:rPr>
        <w:t>——排水时间，d；</w:t>
      </w:r>
    </w:p>
    <w:p w14:paraId="52CD2957">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highlight w:val="none"/>
        </w:rPr>
      </w:pPr>
      <w:r>
        <w:rPr>
          <w:rFonts w:ascii="Times New Roman"/>
          <w:i/>
          <w:iCs/>
          <w:color w:val="auto"/>
          <w:highlight w:val="none"/>
        </w:rPr>
        <w:t>ε</w:t>
      </w:r>
      <w:r>
        <w:rPr>
          <w:rFonts w:ascii="Times New Roman"/>
          <w:i/>
          <w:iCs/>
          <w:color w:val="auto"/>
          <w:highlight w:val="none"/>
          <w:vertAlign w:val="subscript"/>
        </w:rPr>
        <w:t>h</w:t>
      </w:r>
      <w:r>
        <w:rPr>
          <w:rFonts w:ascii="Times New Roman"/>
          <w:color w:val="auto"/>
          <w:highlight w:val="none"/>
        </w:rPr>
        <w:t>——地下水平均蒸发强度，m/d。</w:t>
      </w:r>
    </w:p>
    <w:p w14:paraId="51E52E90">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highlight w:val="none"/>
        </w:rPr>
      </w:pPr>
      <w:r>
        <w:rPr>
          <w:color w:val="auto"/>
          <w:highlight w:val="none"/>
        </w:rPr>
        <w:t>冲洗改良土壤排水模数可</w:t>
      </w:r>
      <w:r>
        <w:rPr>
          <w:rFonts w:hint="eastAsia"/>
          <w:color w:val="auto"/>
          <w:highlight w:val="none"/>
          <w:lang w:val="en-US" w:eastAsia="zh-CN"/>
        </w:rPr>
        <w:t>按下式确定：</w:t>
      </w:r>
    </w:p>
    <w:p w14:paraId="5B024E6F">
      <w:pPr>
        <w:pStyle w:val="155"/>
        <w:jc w:val="right"/>
        <w:rPr>
          <w:rFonts w:hint="eastAsia"/>
          <w:color w:val="auto"/>
          <w:highlight w:val="none"/>
        </w:rPr>
      </w:pPr>
      <w:r>
        <w:rPr>
          <w:rFonts w:hint="eastAsia"/>
          <w:color w:val="auto"/>
          <w:highlight w:val="none"/>
          <w:lang w:val="en-US" w:eastAsia="zh-CN"/>
        </w:rPr>
        <w:t xml:space="preserve">                    </w:t>
      </w:r>
      <w:r>
        <w:rPr>
          <w:color w:val="auto"/>
          <w:position w:val="-24"/>
          <w:highlight w:val="none"/>
        </w:rPr>
        <w:object>
          <v:shape id="_x0000_i1030" o:spt="75" type="#_x0000_t75" style="height:31.55pt;width:91.25pt;" o:ole="t" filled="f" o:preferrelative="t" stroked="f" coordsize="21600,21600">
            <v:path/>
            <v:fill on="f" focussize="0,0"/>
            <v:stroke on="f"/>
            <v:imagedata r:id="rId23" o:title=""/>
            <o:lock v:ext="edit" aspectratio="t"/>
            <w10:wrap type="none"/>
            <w10:anchorlock/>
          </v:shape>
          <o:OLEObject Type="Embed" ProgID="Equation.DSMT4" ShapeID="_x0000_i1030" DrawAspect="Content" ObjectID="_1468075730" r:id="rId22">
            <o:LockedField>false</o:LockedField>
          </o:OLEObject>
        </w:object>
      </w:r>
      <w:r>
        <w:rPr>
          <w:rFonts w:hint="eastAsia"/>
          <w:color w:val="auto"/>
          <w:highlight w:val="none"/>
          <w:lang w:val="en-US" w:eastAsia="zh-CN"/>
        </w:rPr>
        <w:t xml:space="preserve">                         </w:t>
      </w:r>
      <w:r>
        <w:rPr>
          <w:rFonts w:hint="eastAsia"/>
          <w:color w:val="auto"/>
          <w:highlight w:val="none"/>
        </w:rPr>
        <w:t>（</w:t>
      </w:r>
      <w:r>
        <w:rPr>
          <w:color w:val="auto"/>
          <w:highlight w:val="none"/>
        </w:rPr>
        <w:t>6.</w:t>
      </w:r>
      <w:r>
        <w:rPr>
          <w:rFonts w:hint="eastAsia"/>
          <w:color w:val="auto"/>
          <w:highlight w:val="none"/>
          <w:lang w:val="en-US" w:eastAsia="zh-CN"/>
        </w:rPr>
        <w:t>1</w:t>
      </w:r>
      <w:r>
        <w:rPr>
          <w:color w:val="auto"/>
          <w:highlight w:val="none"/>
        </w:rPr>
        <w:t>-</w:t>
      </w:r>
      <w:r>
        <w:rPr>
          <w:rFonts w:hint="eastAsia"/>
          <w:color w:val="auto"/>
          <w:highlight w:val="none"/>
          <w:lang w:val="en-US" w:eastAsia="zh-CN"/>
        </w:rPr>
        <w:t>6</w:t>
      </w:r>
      <w:r>
        <w:rPr>
          <w:rFonts w:hint="eastAsia"/>
          <w:color w:val="auto"/>
          <w:highlight w:val="none"/>
        </w:rPr>
        <w:t>）</w:t>
      </w:r>
    </w:p>
    <w:p w14:paraId="3A433E1E">
      <w:pPr>
        <w:pStyle w:val="155"/>
        <w:jc w:val="right"/>
        <w:rPr>
          <w:rFonts w:hint="eastAsia"/>
          <w:color w:val="auto"/>
          <w:highlight w:val="none"/>
        </w:rPr>
      </w:pPr>
      <w:r>
        <w:rPr>
          <w:rFonts w:hint="eastAsia"/>
          <w:color w:val="auto"/>
          <w:highlight w:val="none"/>
          <w:lang w:val="en-US" w:eastAsia="zh-CN"/>
        </w:rPr>
        <w:t xml:space="preserve">                       </w:t>
      </w:r>
      <w:r>
        <w:rPr>
          <w:color w:val="auto"/>
          <w:position w:val="-32"/>
          <w:highlight w:val="none"/>
        </w:rPr>
        <w:object>
          <v:shape id="_x0000_i1031" o:spt="75" type="#_x0000_t75" style="height:37.95pt;width:94.85pt;" o:ole="t" filled="f" o:preferrelative="t" stroked="f" coordsize="21600,21600">
            <v:path/>
            <v:fill on="f" focussize="0,0"/>
            <v:stroke on="f"/>
            <v:imagedata r:id="rId25" o:title=""/>
            <o:lock v:ext="edit" aspectratio="t"/>
            <w10:wrap type="none"/>
            <w10:anchorlock/>
          </v:shape>
          <o:OLEObject Type="Embed" ProgID="Equation.DSMT4" ShapeID="_x0000_i1031" DrawAspect="Content" ObjectID="_1468075731" r:id="rId24">
            <o:LockedField>false</o:LockedField>
          </o:OLEObject>
        </w:object>
      </w:r>
      <w:r>
        <w:rPr>
          <w:color w:val="auto"/>
          <w:highlight w:val="none"/>
        </w:rPr>
        <w:t xml:space="preserve">  </w:t>
      </w:r>
      <w:r>
        <w:rPr>
          <w:rFonts w:hint="eastAsia"/>
          <w:color w:val="auto"/>
          <w:highlight w:val="none"/>
          <w:lang w:val="en-US" w:eastAsia="zh-CN"/>
        </w:rPr>
        <w:t xml:space="preserve">                       </w:t>
      </w:r>
      <w:r>
        <w:rPr>
          <w:rFonts w:hint="eastAsia"/>
          <w:color w:val="auto"/>
          <w:highlight w:val="none"/>
        </w:rPr>
        <w:t>（</w:t>
      </w:r>
      <w:r>
        <w:rPr>
          <w:color w:val="auto"/>
          <w:highlight w:val="none"/>
        </w:rPr>
        <w:t>6.</w:t>
      </w:r>
      <w:r>
        <w:rPr>
          <w:rFonts w:hint="eastAsia"/>
          <w:color w:val="auto"/>
          <w:highlight w:val="none"/>
          <w:lang w:val="en-US" w:eastAsia="zh-CN"/>
        </w:rPr>
        <w:t>1</w:t>
      </w:r>
      <w:r>
        <w:rPr>
          <w:color w:val="auto"/>
          <w:highlight w:val="none"/>
        </w:rPr>
        <w:t>-</w:t>
      </w:r>
      <w:r>
        <w:rPr>
          <w:rFonts w:hint="eastAsia"/>
          <w:color w:val="auto"/>
          <w:highlight w:val="none"/>
          <w:lang w:val="en-US" w:eastAsia="zh-CN"/>
        </w:rPr>
        <w:t>7</w:t>
      </w:r>
      <w:r>
        <w:rPr>
          <w:rFonts w:hint="eastAsia"/>
          <w:color w:val="auto"/>
          <w:highlight w:val="none"/>
        </w:rPr>
        <w:t>）</w:t>
      </w:r>
    </w:p>
    <w:p w14:paraId="661D9FD2">
      <w:pPr>
        <w:pStyle w:val="25"/>
        <w:keepNext w:val="0"/>
        <w:keepLines w:val="0"/>
        <w:pageBreakBefore w:val="0"/>
        <w:widowControl/>
        <w:kinsoku/>
        <w:wordWrap/>
        <w:overflowPunct/>
        <w:topLinePunct w:val="0"/>
        <w:autoSpaceDE w:val="0"/>
        <w:autoSpaceDN w:val="0"/>
        <w:bidi w:val="0"/>
        <w:spacing w:line="240" w:lineRule="auto"/>
        <w:textAlignment w:val="auto"/>
        <w:rPr>
          <w:rFonts w:hint="eastAsia" w:ascii="Times New Roman"/>
          <w:color w:val="auto"/>
          <w:highlight w:val="none"/>
        </w:rPr>
      </w:pPr>
      <w:r>
        <w:rPr>
          <w:rFonts w:ascii="Times New Roman"/>
          <w:color w:val="auto"/>
          <w:highlight w:val="none"/>
        </w:rPr>
        <w:t>式中</w:t>
      </w:r>
      <w:r>
        <w:rPr>
          <w:rFonts w:hint="eastAsia" w:ascii="Times New Roman"/>
          <w:color w:val="auto"/>
          <w:highlight w:val="none"/>
        </w:rPr>
        <w:t>：</w:t>
      </w:r>
    </w:p>
    <w:p w14:paraId="1675D767">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highlight w:val="none"/>
        </w:rPr>
      </w:pPr>
      <w:r>
        <w:rPr>
          <w:rFonts w:ascii="Times New Roman"/>
          <w:i/>
          <w:iCs/>
          <w:color w:val="auto"/>
          <w:highlight w:val="none"/>
        </w:rPr>
        <w:t>ε</w:t>
      </w:r>
      <w:r>
        <w:rPr>
          <w:rFonts w:ascii="Times New Roman"/>
          <w:color w:val="auto"/>
          <w:highlight w:val="none"/>
          <w:vertAlign w:val="subscript"/>
        </w:rPr>
        <w:t>0</w:t>
      </w:r>
      <w:r>
        <w:rPr>
          <w:rFonts w:ascii="Times New Roman"/>
          <w:color w:val="auto"/>
          <w:highlight w:val="none"/>
        </w:rPr>
        <w:t>——水面蒸发强度，m/d</w:t>
      </w:r>
    </w:p>
    <w:p w14:paraId="1F9863E5">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highlight w:val="none"/>
        </w:rPr>
      </w:pPr>
      <w:r>
        <w:rPr>
          <w:rFonts w:ascii="Times New Roman"/>
          <w:i/>
          <w:iCs/>
          <w:color w:val="auto"/>
          <w:highlight w:val="none"/>
        </w:rPr>
        <w:t>m</w:t>
      </w:r>
      <w:r>
        <w:rPr>
          <w:rFonts w:ascii="Times New Roman"/>
          <w:color w:val="auto"/>
          <w:highlight w:val="none"/>
        </w:rPr>
        <w:t>——冲洗定额，m；</w:t>
      </w:r>
    </w:p>
    <w:p w14:paraId="2AC9A9E3">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highlight w:val="none"/>
        </w:rPr>
      </w:pPr>
      <w:r>
        <w:rPr>
          <w:rFonts w:ascii="Times New Roman"/>
          <w:color w:val="auto"/>
          <w:highlight w:val="none"/>
        </w:rPr>
        <w:t>∆</w:t>
      </w:r>
      <w:r>
        <w:rPr>
          <w:rFonts w:ascii="Times New Roman"/>
          <w:i/>
          <w:iCs/>
          <w:color w:val="auto"/>
          <w:highlight w:val="none"/>
        </w:rPr>
        <w:t>ω</w:t>
      </w:r>
      <w:r>
        <w:rPr>
          <w:rFonts w:ascii="Times New Roman"/>
          <w:color w:val="auto"/>
          <w:highlight w:val="none"/>
        </w:rPr>
        <w:t>——冲洗排水前后的土壤含水量增值，m；</w:t>
      </w:r>
    </w:p>
    <w:p w14:paraId="3871682D">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highlight w:val="none"/>
        </w:rPr>
      </w:pPr>
      <w:r>
        <w:rPr>
          <w:rFonts w:ascii="Times New Roman"/>
          <w:i/>
          <w:iCs/>
          <w:color w:val="auto"/>
          <w:highlight w:val="none"/>
        </w:rPr>
        <w:t>n</w:t>
      </w:r>
      <w:r>
        <w:rPr>
          <w:rFonts w:ascii="Times New Roman"/>
          <w:color w:val="auto"/>
          <w:highlight w:val="none"/>
        </w:rPr>
        <w:t>——地下水潜水蒸发指数，取</w:t>
      </w:r>
      <w:r>
        <w:rPr>
          <w:rFonts w:ascii="Times New Roman"/>
          <w:b w:val="0"/>
          <w:bCs w:val="0"/>
          <w:i/>
          <w:iCs/>
          <w:color w:val="auto"/>
          <w:highlight w:val="none"/>
        </w:rPr>
        <w:t>n</w:t>
      </w:r>
      <w:r>
        <w:rPr>
          <w:rFonts w:ascii="Times New Roman"/>
          <w:color w:val="auto"/>
          <w:highlight w:val="none"/>
        </w:rPr>
        <w:t>＝1</w:t>
      </w:r>
      <w:r>
        <w:rPr>
          <w:rFonts w:hint="eastAsia" w:ascii="Times New Roman"/>
          <w:color w:val="auto"/>
          <w:highlight w:val="none"/>
        </w:rPr>
        <w:t>～</w:t>
      </w:r>
      <w:r>
        <w:rPr>
          <w:rFonts w:ascii="Times New Roman"/>
          <w:color w:val="auto"/>
          <w:highlight w:val="none"/>
        </w:rPr>
        <w:t>3；</w:t>
      </w:r>
    </w:p>
    <w:p w14:paraId="30F9737F">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hint="eastAsia" w:ascii="Times New Roman"/>
          <w:color w:val="auto"/>
          <w:highlight w:val="none"/>
        </w:rPr>
      </w:pPr>
      <w:r>
        <w:rPr>
          <w:rFonts w:ascii="Times New Roman"/>
          <w:i/>
          <w:iCs/>
          <w:color w:val="auto"/>
          <w:highlight w:val="none"/>
        </w:rPr>
        <w:t>h</w:t>
      </w:r>
      <w:r>
        <w:rPr>
          <w:rFonts w:ascii="Times New Roman"/>
          <w:i/>
          <w:iCs/>
          <w:color w:val="auto"/>
          <w:highlight w:val="none"/>
          <w:vertAlign w:val="subscript"/>
        </w:rPr>
        <w:t>ε</w:t>
      </w:r>
      <w:r>
        <w:rPr>
          <w:rFonts w:ascii="Times New Roman"/>
          <w:color w:val="auto"/>
          <w:highlight w:val="none"/>
        </w:rPr>
        <w:t>——地下水停止蒸发深度，m</w:t>
      </w:r>
      <w:r>
        <w:rPr>
          <w:rFonts w:hint="eastAsia" w:ascii="Times New Roman"/>
          <w:color w:val="auto"/>
          <w:highlight w:val="none"/>
        </w:rPr>
        <w:t>。</w:t>
      </w:r>
    </w:p>
    <w:p w14:paraId="67264D27">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highlight w:val="none"/>
        </w:rPr>
      </w:pPr>
      <w:r>
        <w:rPr>
          <w:rFonts w:ascii="Times New Roman"/>
          <w:color w:val="auto"/>
          <w:highlight w:val="none"/>
        </w:rPr>
        <w:t>其余符号意义同前。</w:t>
      </w:r>
    </w:p>
    <w:p w14:paraId="147673BA">
      <w:pPr>
        <w:pStyle w:val="71"/>
        <w:keepNext w:val="0"/>
        <w:keepLines w:val="0"/>
        <w:pageBreakBefore w:val="0"/>
        <w:widowControl/>
        <w:kinsoku/>
        <w:wordWrap/>
        <w:overflowPunct/>
        <w:topLinePunct w:val="0"/>
        <w:autoSpaceDE/>
        <w:autoSpaceDN/>
        <w:bidi w:val="0"/>
        <w:adjustRightInd/>
        <w:snapToGrid/>
        <w:textAlignment w:val="auto"/>
        <w:rPr>
          <w:rFonts w:hint="default"/>
          <w:color w:val="auto"/>
          <w:highlight w:val="none"/>
          <w:lang w:val="en-US" w:eastAsia="zh-CN"/>
        </w:rPr>
      </w:pPr>
      <w:r>
        <w:rPr>
          <w:rFonts w:hint="eastAsia"/>
          <w:color w:val="auto"/>
          <w:highlight w:val="none"/>
          <w:lang w:val="en-US" w:eastAsia="zh-CN"/>
        </w:rPr>
        <w:t>暗管排水设计标准</w:t>
      </w:r>
    </w:p>
    <w:p w14:paraId="0A6E293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textAlignment w:val="auto"/>
        <w:rPr>
          <w:rFonts w:hint="default" w:eastAsia="宋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6.2.1 基本</w:t>
      </w:r>
      <w:r>
        <w:rPr>
          <w:rFonts w:hint="eastAsia" w:ascii="黑体" w:hAnsi="黑体" w:eastAsia="黑体" w:cs="黑体"/>
          <w:color w:val="auto"/>
          <w:highlight w:val="none"/>
          <w:lang w:val="en-US" w:eastAsia="zh-CN"/>
        </w:rPr>
        <w:t>规定</w:t>
      </w:r>
    </w:p>
    <w:p w14:paraId="4F21305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color w:val="auto"/>
          <w:highlight w:val="none"/>
        </w:rPr>
      </w:pPr>
      <w:r>
        <w:rPr>
          <w:color w:val="auto"/>
          <w:highlight w:val="none"/>
        </w:rPr>
        <w:t>暗管排水项目</w:t>
      </w:r>
      <w:r>
        <w:rPr>
          <w:rFonts w:hint="eastAsia"/>
          <w:color w:val="auto"/>
          <w:highlight w:val="none"/>
        </w:rPr>
        <w:t>区应根据</w:t>
      </w:r>
      <w:r>
        <w:rPr>
          <w:color w:val="auto"/>
          <w:highlight w:val="none"/>
        </w:rPr>
        <w:t>排水任务确定设计标准。若有特定排水要求，可适当提高标准</w:t>
      </w:r>
      <w:r>
        <w:rPr>
          <w:rFonts w:hint="eastAsia"/>
          <w:color w:val="auto"/>
          <w:highlight w:val="none"/>
        </w:rPr>
        <w:t>；若受条件限制，可分期实施达到标准</w:t>
      </w:r>
      <w:r>
        <w:rPr>
          <w:color w:val="auto"/>
          <w:highlight w:val="none"/>
        </w:rPr>
        <w:t>。</w:t>
      </w:r>
    </w:p>
    <w:p w14:paraId="412A5B96">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color w:val="auto"/>
          <w:highlight w:val="none"/>
        </w:rPr>
      </w:pPr>
      <w:r>
        <w:rPr>
          <w:color w:val="auto"/>
          <w:highlight w:val="none"/>
        </w:rPr>
        <w:t>暗管排水工程设计中，应</w:t>
      </w:r>
      <w:r>
        <w:rPr>
          <w:rFonts w:hint="eastAsia"/>
          <w:color w:val="auto"/>
          <w:highlight w:val="none"/>
        </w:rPr>
        <w:t>依据现行</w:t>
      </w:r>
      <w:r>
        <w:rPr>
          <w:color w:val="auto"/>
          <w:highlight w:val="none"/>
        </w:rPr>
        <w:t xml:space="preserve">GB50201 </w:t>
      </w:r>
      <w:r>
        <w:rPr>
          <w:rFonts w:hint="eastAsia"/>
          <w:color w:val="auto"/>
          <w:highlight w:val="none"/>
        </w:rPr>
        <w:t>、</w:t>
      </w:r>
      <w:r>
        <w:rPr>
          <w:color w:val="auto"/>
          <w:highlight w:val="none"/>
        </w:rPr>
        <w:t>GB50288</w:t>
      </w:r>
      <w:r>
        <w:rPr>
          <w:rFonts w:hint="eastAsia"/>
          <w:color w:val="auto"/>
          <w:highlight w:val="none"/>
        </w:rPr>
        <w:t>、</w:t>
      </w:r>
      <w:r>
        <w:rPr>
          <w:color w:val="auto"/>
          <w:highlight w:val="none"/>
        </w:rPr>
        <w:t>SL</w:t>
      </w:r>
      <w:r>
        <w:rPr>
          <w:rFonts w:hint="eastAsia"/>
          <w:color w:val="auto"/>
          <w:highlight w:val="none"/>
          <w:lang w:val="en-US" w:eastAsia="zh-CN"/>
        </w:rPr>
        <w:t xml:space="preserve">/T </w:t>
      </w:r>
      <w:r>
        <w:rPr>
          <w:color w:val="auto"/>
          <w:highlight w:val="none"/>
        </w:rPr>
        <w:t>4</w:t>
      </w:r>
      <w:r>
        <w:rPr>
          <w:rFonts w:hint="eastAsia"/>
          <w:color w:val="auto"/>
          <w:highlight w:val="none"/>
        </w:rPr>
        <w:t>和</w:t>
      </w:r>
      <w:r>
        <w:rPr>
          <w:color w:val="auto"/>
          <w:highlight w:val="none"/>
        </w:rPr>
        <w:t>当地防洪</w:t>
      </w:r>
      <w:r>
        <w:rPr>
          <w:rFonts w:hint="eastAsia"/>
          <w:color w:val="auto"/>
          <w:highlight w:val="none"/>
        </w:rPr>
        <w:t>要求</w:t>
      </w:r>
      <w:r>
        <w:rPr>
          <w:color w:val="auto"/>
          <w:highlight w:val="none"/>
        </w:rPr>
        <w:t>，结合灌排工程总目标，确定设计内容。</w:t>
      </w:r>
    </w:p>
    <w:p w14:paraId="441F0DF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color w:val="auto"/>
          <w:highlight w:val="none"/>
        </w:rPr>
      </w:pPr>
      <w:r>
        <w:rPr>
          <w:rFonts w:hint="eastAsia"/>
          <w:color w:val="auto"/>
          <w:highlight w:val="none"/>
        </w:rPr>
        <w:t>设计文件的编制及工程投资和经济效益分析，应执行水利水电工程有关的设计报告编制、</w:t>
      </w:r>
      <w:r>
        <w:rPr>
          <w:rFonts w:hint="eastAsia"/>
          <w:color w:val="auto"/>
          <w:kern w:val="2"/>
          <w:highlight w:val="none"/>
        </w:rPr>
        <w:t>水利建设项目经济评价规范（</w:t>
      </w:r>
      <w:r>
        <w:rPr>
          <w:rFonts w:hint="eastAsia"/>
          <w:color w:val="auto"/>
          <w:highlight w:val="none"/>
        </w:rPr>
        <w:t>SL72</w:t>
      </w:r>
      <w:r>
        <w:rPr>
          <w:rFonts w:hint="eastAsia"/>
          <w:color w:val="auto"/>
          <w:kern w:val="2"/>
          <w:highlight w:val="none"/>
        </w:rPr>
        <w:t>）</w:t>
      </w:r>
      <w:r>
        <w:rPr>
          <w:rFonts w:hint="eastAsia"/>
          <w:color w:val="auto"/>
          <w:highlight w:val="none"/>
        </w:rPr>
        <w:t>以及</w:t>
      </w:r>
      <w:r>
        <w:rPr>
          <w:rFonts w:hint="eastAsia"/>
          <w:color w:val="auto"/>
          <w:szCs w:val="22"/>
          <w:highlight w:val="none"/>
        </w:rPr>
        <w:t>宁夏引黄灌区农田水利基本建设技术规范</w:t>
      </w:r>
      <w:r>
        <w:rPr>
          <w:rFonts w:hint="eastAsia"/>
          <w:color w:val="auto"/>
          <w:highlight w:val="none"/>
        </w:rPr>
        <w:t>（</w:t>
      </w:r>
      <w:r>
        <w:rPr>
          <w:rFonts w:hint="eastAsia"/>
          <w:color w:val="auto"/>
          <w:szCs w:val="22"/>
          <w:highlight w:val="none"/>
        </w:rPr>
        <w:t>DB64/1529</w:t>
      </w:r>
      <w:r>
        <w:rPr>
          <w:rFonts w:hint="eastAsia"/>
          <w:color w:val="auto"/>
          <w:highlight w:val="none"/>
        </w:rPr>
        <w:t>）的相关规定。</w:t>
      </w:r>
    </w:p>
    <w:p w14:paraId="2C0589C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rFonts w:hint="eastAsia"/>
          <w:color w:val="auto"/>
          <w:highlight w:val="none"/>
          <w:lang w:val="en-US" w:eastAsia="zh-CN"/>
        </w:rPr>
        <w:t>应结合</w:t>
      </w:r>
      <w:r>
        <w:rPr>
          <w:rFonts w:hint="eastAsia"/>
          <w:color w:val="auto"/>
          <w:highlight w:val="none"/>
        </w:rPr>
        <w:t>高效节水、高标准农田</w:t>
      </w:r>
      <w:r>
        <w:rPr>
          <w:rFonts w:hint="eastAsia"/>
          <w:color w:val="auto"/>
          <w:highlight w:val="none"/>
          <w:lang w:val="en-US" w:eastAsia="zh-CN"/>
        </w:rPr>
        <w:t>建设要求，</w:t>
      </w:r>
      <w:r>
        <w:rPr>
          <w:rFonts w:hint="eastAsia"/>
          <w:color w:val="auto"/>
          <w:highlight w:val="none"/>
        </w:rPr>
        <w:t>综合考虑灌水总量、田块治理坡度，统筹设计吸水管、集水管和泵站等设施，避免吸水管和泵站排水欠佳、集水管坡度与地形坡度相反的问题。</w:t>
      </w:r>
    </w:p>
    <w:p w14:paraId="0917A168">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rFonts w:hint="eastAsia"/>
          <w:color w:val="auto"/>
          <w:highlight w:val="none"/>
        </w:rPr>
        <w:t>有野外试验需求的暗管排水设计，应在吸水管或集水管布置电磁流量计，在泵站出水口布置水质监测仪器，</w:t>
      </w:r>
      <w:r>
        <w:rPr>
          <w:rFonts w:hint="eastAsia"/>
          <w:color w:val="auto"/>
          <w:highlight w:val="none"/>
          <w:lang w:eastAsia="zh-CN"/>
        </w:rPr>
        <w:t>便于监测</w:t>
      </w:r>
      <w:r>
        <w:rPr>
          <w:rFonts w:hint="eastAsia"/>
          <w:color w:val="auto"/>
          <w:highlight w:val="none"/>
        </w:rPr>
        <w:t>排盐效果。</w:t>
      </w:r>
    </w:p>
    <w:p w14:paraId="017E4E4F">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leftChars="0"/>
        <w:textAlignment w:val="auto"/>
        <w:rPr>
          <w:rFonts w:hint="eastAsia" w:ascii="黑体" w:hAnsi="黑体" w:eastAsia="黑体" w:cs="黑体"/>
          <w:color w:val="auto"/>
          <w:highlight w:val="none"/>
          <w:lang w:val="en-US" w:eastAsia="zh-CN"/>
        </w:rPr>
      </w:pPr>
      <w:r>
        <w:rPr>
          <w:rFonts w:hint="eastAsia" w:ascii="黑体" w:hAnsi="Times New Roman" w:eastAsia="黑体" w:cs="Times New Roman"/>
          <w:color w:val="auto"/>
          <w:sz w:val="21"/>
          <w:szCs w:val="21"/>
          <w:highlight w:val="none"/>
          <w:lang w:val="en-US" w:eastAsia="zh-CN" w:bidi="ar-SA"/>
        </w:rPr>
        <w:t>6.2.2 设</w:t>
      </w:r>
      <w:r>
        <w:rPr>
          <w:rFonts w:hint="eastAsia" w:ascii="黑体" w:hAnsi="黑体" w:eastAsia="黑体" w:cs="黑体"/>
          <w:color w:val="auto"/>
          <w:highlight w:val="none"/>
          <w:lang w:val="en-US" w:eastAsia="zh-CN"/>
        </w:rPr>
        <w:t>计标准</w:t>
      </w:r>
    </w:p>
    <w:p w14:paraId="5FEC5385">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暗管排水</w:t>
      </w:r>
      <w:r>
        <w:rPr>
          <w:color w:val="auto"/>
          <w:highlight w:val="none"/>
        </w:rPr>
        <w:t>设计标准应按以下要求选用</w:t>
      </w:r>
      <w:r>
        <w:rPr>
          <w:rFonts w:hint="eastAsia"/>
          <w:color w:val="auto"/>
          <w:highlight w:val="none"/>
        </w:rPr>
        <w:t>：</w:t>
      </w:r>
      <w:r>
        <w:rPr>
          <w:color w:val="auto"/>
          <w:highlight w:val="none"/>
        </w:rPr>
        <w:t>（</w:t>
      </w:r>
      <w:r>
        <w:rPr>
          <w:rFonts w:hint="eastAsia"/>
          <w:color w:val="auto"/>
          <w:highlight w:val="none"/>
        </w:rPr>
        <w:t>1）</w:t>
      </w:r>
      <w:r>
        <w:rPr>
          <w:color w:val="auto"/>
          <w:highlight w:val="none"/>
        </w:rPr>
        <w:t>旱作区应以作物渍害敏感期所要求的地下水位下降速度指标确定设计值；</w:t>
      </w:r>
      <w:r>
        <w:rPr>
          <w:rFonts w:hint="eastAsia"/>
          <w:color w:val="auto"/>
          <w:highlight w:val="none"/>
        </w:rPr>
        <w:t>（2）水稻田、</w:t>
      </w:r>
      <w:r>
        <w:rPr>
          <w:color w:val="auto"/>
          <w:highlight w:val="none"/>
        </w:rPr>
        <w:t>旱</w:t>
      </w:r>
      <w:r>
        <w:rPr>
          <w:rFonts w:hint="eastAsia"/>
          <w:color w:val="auto"/>
          <w:highlight w:val="none"/>
        </w:rPr>
        <w:t>田</w:t>
      </w:r>
      <w:r>
        <w:rPr>
          <w:color w:val="auto"/>
          <w:highlight w:val="none"/>
        </w:rPr>
        <w:t>轮作区应根据各种作物所要求的地下排水标准，进行经济比较后确定；（</w:t>
      </w:r>
      <w:r>
        <w:rPr>
          <w:rFonts w:hint="eastAsia"/>
          <w:color w:val="auto"/>
          <w:highlight w:val="none"/>
        </w:rPr>
        <w:t>3）以</w:t>
      </w:r>
      <w:r>
        <w:rPr>
          <w:color w:val="auto"/>
          <w:highlight w:val="none"/>
        </w:rPr>
        <w:t>盐碱地改良</w:t>
      </w:r>
      <w:r>
        <w:rPr>
          <w:rFonts w:hint="eastAsia"/>
          <w:color w:val="auto"/>
          <w:highlight w:val="none"/>
        </w:rPr>
        <w:t>为目标的暗管排水</w:t>
      </w:r>
      <w:r>
        <w:rPr>
          <w:color w:val="auto"/>
          <w:highlight w:val="none"/>
        </w:rPr>
        <w:t>工程应满足防治盐碱化的排水标准，通常应以地下水临界深度作为工程设计标准</w:t>
      </w:r>
      <w:r>
        <w:rPr>
          <w:rFonts w:hint="eastAsia"/>
          <w:color w:val="auto"/>
          <w:highlight w:val="none"/>
          <w:lang w:eastAsia="zh-CN"/>
        </w:rPr>
        <w:t>；（</w:t>
      </w:r>
      <w:r>
        <w:rPr>
          <w:rFonts w:hint="eastAsia"/>
          <w:color w:val="auto"/>
          <w:highlight w:val="none"/>
          <w:lang w:val="en-US" w:eastAsia="zh-CN"/>
        </w:rPr>
        <w:t>4）</w:t>
      </w:r>
      <w:r>
        <w:rPr>
          <w:rFonts w:hint="eastAsia"/>
          <w:color w:val="auto"/>
          <w:highlight w:val="none"/>
        </w:rPr>
        <w:t>作物灌水期或汛期降雨土壤处于淋洗条件下</w:t>
      </w:r>
      <w:r>
        <w:rPr>
          <w:color w:val="auto"/>
          <w:highlight w:val="none"/>
        </w:rPr>
        <w:t>，</w:t>
      </w:r>
      <w:r>
        <w:rPr>
          <w:rFonts w:hint="eastAsia"/>
          <w:color w:val="auto"/>
          <w:highlight w:val="none"/>
        </w:rPr>
        <w:t>地下排水标准应以满足防渍要求为依据；</w:t>
      </w:r>
      <w:r>
        <w:rPr>
          <w:rFonts w:hint="eastAsia"/>
          <w:color w:val="auto"/>
          <w:highlight w:val="none"/>
          <w:lang w:eastAsia="zh-CN"/>
        </w:rPr>
        <w:t>（</w:t>
      </w:r>
      <w:r>
        <w:rPr>
          <w:rFonts w:hint="eastAsia"/>
          <w:color w:val="auto"/>
          <w:highlight w:val="none"/>
          <w:lang w:val="en-US" w:eastAsia="zh-CN"/>
        </w:rPr>
        <w:t>5）</w:t>
      </w:r>
      <w:r>
        <w:rPr>
          <w:rFonts w:hint="eastAsia"/>
          <w:color w:val="auto"/>
          <w:highlight w:val="none"/>
        </w:rPr>
        <w:t>春、秋返盐期内，应以防止土壤过量积盐为依据，在允许排水时间内将地下水排降至</w:t>
      </w:r>
      <w:r>
        <w:rPr>
          <w:color w:val="auto"/>
          <w:highlight w:val="none"/>
        </w:rPr>
        <w:t>临界深度。</w:t>
      </w:r>
    </w:p>
    <w:p w14:paraId="7037E51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宁夏引黄灌区主要农作物的地下水位下降速度</w:t>
      </w:r>
      <w:r>
        <w:rPr>
          <w:rFonts w:hint="eastAsia"/>
          <w:color w:val="auto"/>
          <w:highlight w:val="none"/>
          <w:lang w:eastAsia="zh-CN"/>
        </w:rPr>
        <w:t>（</w:t>
      </w:r>
      <w:r>
        <w:rPr>
          <w:rFonts w:hint="eastAsia"/>
          <w:color w:val="auto"/>
          <w:highlight w:val="none"/>
          <w:lang w:val="en-US" w:eastAsia="zh-CN"/>
        </w:rPr>
        <w:t>在规定排水时间内达到的埋深值）</w:t>
      </w:r>
      <w:r>
        <w:rPr>
          <w:color w:val="auto"/>
          <w:highlight w:val="none"/>
        </w:rPr>
        <w:t>设计指标应通过试验</w:t>
      </w:r>
      <w:r>
        <w:rPr>
          <w:rFonts w:hint="eastAsia"/>
          <w:color w:val="auto"/>
          <w:highlight w:val="none"/>
          <w:lang w:val="en-US" w:eastAsia="zh-CN"/>
        </w:rPr>
        <w:t>确定</w:t>
      </w:r>
      <w:r>
        <w:rPr>
          <w:color w:val="auto"/>
          <w:highlight w:val="none"/>
        </w:rPr>
        <w:t>，也可按表6.</w:t>
      </w:r>
      <w:r>
        <w:rPr>
          <w:rFonts w:hint="eastAsia"/>
          <w:color w:val="auto"/>
          <w:highlight w:val="none"/>
          <w:lang w:val="en-US" w:eastAsia="zh-CN"/>
        </w:rPr>
        <w:t>1</w:t>
      </w:r>
      <w:r>
        <w:rPr>
          <w:color w:val="auto"/>
          <w:highlight w:val="none"/>
        </w:rPr>
        <w:t>-</w:t>
      </w:r>
      <w:r>
        <w:rPr>
          <w:rFonts w:hint="eastAsia"/>
          <w:color w:val="auto"/>
          <w:highlight w:val="none"/>
        </w:rPr>
        <w:t>2</w:t>
      </w:r>
      <w:r>
        <w:rPr>
          <w:color w:val="auto"/>
          <w:highlight w:val="none"/>
        </w:rPr>
        <w:t>数据选用或根据当地经验选取。</w:t>
      </w:r>
    </w:p>
    <w:p w14:paraId="78D2759E">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在</w:t>
      </w:r>
      <w:r>
        <w:rPr>
          <w:rFonts w:hint="eastAsia"/>
          <w:color w:val="auto"/>
          <w:highlight w:val="none"/>
        </w:rPr>
        <w:t>暗管排水工程</w:t>
      </w:r>
      <w:r>
        <w:rPr>
          <w:color w:val="auto"/>
          <w:highlight w:val="none"/>
        </w:rPr>
        <w:t>设计中，</w:t>
      </w:r>
      <w:r>
        <w:rPr>
          <w:rFonts w:hint="eastAsia"/>
          <w:color w:val="auto"/>
          <w:highlight w:val="none"/>
        </w:rPr>
        <w:t>排水标准应满足治渍或防治土壤盐渍化的排水要求。可以</w:t>
      </w:r>
      <w:r>
        <w:rPr>
          <w:color w:val="auto"/>
          <w:highlight w:val="none"/>
        </w:rPr>
        <w:t>按照本规范</w:t>
      </w:r>
      <w:r>
        <w:rPr>
          <w:rFonts w:hint="eastAsia"/>
          <w:color w:val="auto"/>
          <w:highlight w:val="none"/>
        </w:rPr>
        <w:t>推荐</w:t>
      </w:r>
      <w:r>
        <w:rPr>
          <w:color w:val="auto"/>
          <w:highlight w:val="none"/>
        </w:rPr>
        <w:t>方法分别计算上述三个排水标准</w:t>
      </w:r>
      <w:r>
        <w:rPr>
          <w:rFonts w:hint="eastAsia"/>
          <w:color w:val="auto"/>
          <w:highlight w:val="none"/>
        </w:rPr>
        <w:t>的</w:t>
      </w:r>
      <w:r>
        <w:rPr>
          <w:color w:val="auto"/>
          <w:highlight w:val="none"/>
        </w:rPr>
        <w:t>数据</w:t>
      </w:r>
      <w:r>
        <w:rPr>
          <w:rFonts w:hint="eastAsia"/>
          <w:color w:val="auto"/>
          <w:highlight w:val="none"/>
        </w:rPr>
        <w:t>指标</w:t>
      </w:r>
      <w:r>
        <w:rPr>
          <w:color w:val="auto"/>
          <w:highlight w:val="none"/>
        </w:rPr>
        <w:t>，选取</w:t>
      </w:r>
      <w:r>
        <w:rPr>
          <w:rFonts w:hint="eastAsia"/>
          <w:color w:val="auto"/>
          <w:highlight w:val="none"/>
        </w:rPr>
        <w:t>最不利条件（或</w:t>
      </w:r>
      <w:r>
        <w:rPr>
          <w:color w:val="auto"/>
          <w:highlight w:val="none"/>
        </w:rPr>
        <w:t>最大值</w:t>
      </w:r>
      <w:r>
        <w:rPr>
          <w:rFonts w:hint="eastAsia"/>
          <w:color w:val="auto"/>
          <w:highlight w:val="none"/>
        </w:rPr>
        <w:t>）</w:t>
      </w:r>
      <w:r>
        <w:rPr>
          <w:color w:val="auto"/>
          <w:highlight w:val="none"/>
        </w:rPr>
        <w:t>作为暗管排水工程的控制排水标准</w:t>
      </w:r>
      <w:r>
        <w:rPr>
          <w:rFonts w:hint="eastAsia"/>
          <w:color w:val="auto"/>
          <w:highlight w:val="none"/>
        </w:rPr>
        <w:t>，也可以根据</w:t>
      </w:r>
      <w:r>
        <w:rPr>
          <w:rFonts w:hint="eastAsia"/>
          <w:color w:val="auto"/>
          <w:highlight w:val="none"/>
          <w:lang w:eastAsia="zh-CN"/>
        </w:rPr>
        <w:t>灌区</w:t>
      </w:r>
      <w:r>
        <w:rPr>
          <w:rFonts w:hint="eastAsia"/>
          <w:color w:val="auto"/>
          <w:highlight w:val="none"/>
        </w:rPr>
        <w:t>暗管排水特定需求，结合</w:t>
      </w:r>
      <w:r>
        <w:rPr>
          <w:rFonts w:hint="eastAsia"/>
          <w:color w:val="auto"/>
          <w:highlight w:val="none"/>
          <w:lang w:val="en-US" w:eastAsia="zh-CN"/>
        </w:rPr>
        <w:t>SL/T 4和</w:t>
      </w:r>
      <w:r>
        <w:rPr>
          <w:rFonts w:hint="eastAsia"/>
          <w:color w:val="auto"/>
          <w:highlight w:val="none"/>
        </w:rPr>
        <w:t>本规</w:t>
      </w:r>
      <w:r>
        <w:rPr>
          <w:rFonts w:hint="eastAsia"/>
          <w:color w:val="auto"/>
          <w:highlight w:val="none"/>
          <w:lang w:eastAsia="zh-CN"/>
        </w:rPr>
        <w:t>程</w:t>
      </w:r>
      <w:r>
        <w:rPr>
          <w:rFonts w:hint="eastAsia"/>
          <w:color w:val="auto"/>
          <w:highlight w:val="none"/>
        </w:rPr>
        <w:t>范</w:t>
      </w:r>
      <w:r>
        <w:rPr>
          <w:rFonts w:hint="eastAsia"/>
          <w:color w:val="auto"/>
          <w:highlight w:val="none"/>
          <w:lang w:val="en-US" w:eastAsia="zh-CN"/>
        </w:rPr>
        <w:t>相关条款</w:t>
      </w:r>
      <w:r>
        <w:rPr>
          <w:rFonts w:hint="eastAsia"/>
          <w:color w:val="auto"/>
          <w:highlight w:val="none"/>
        </w:rPr>
        <w:t>的规定选取</w:t>
      </w:r>
      <w:r>
        <w:rPr>
          <w:color w:val="auto"/>
          <w:highlight w:val="none"/>
        </w:rPr>
        <w:t>。</w:t>
      </w:r>
    </w:p>
    <w:p w14:paraId="21BB162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明沟排水系统健全或有多种组合排水系统的项目区进行暗管排水工程更新改造时，暗管排水模数的选取应扣除其他排水系统排渍效应。</w:t>
      </w:r>
    </w:p>
    <w:p w14:paraId="5482D9FD">
      <w:pPr>
        <w:pStyle w:val="71"/>
        <w:keepNext w:val="0"/>
        <w:keepLines w:val="0"/>
        <w:pageBreakBefore w:val="0"/>
        <w:widowControl/>
        <w:kinsoku/>
        <w:wordWrap/>
        <w:overflowPunct/>
        <w:topLinePunct w:val="0"/>
        <w:autoSpaceDE/>
        <w:autoSpaceDN/>
        <w:bidi w:val="0"/>
        <w:adjustRightInd/>
        <w:snapToGrid/>
        <w:textAlignment w:val="auto"/>
        <w:rPr>
          <w:rFonts w:hint="eastAsia"/>
          <w:color w:val="auto"/>
          <w:highlight w:val="none"/>
          <w:lang w:val="en-US" w:eastAsia="zh-CN"/>
        </w:rPr>
      </w:pPr>
      <w:bookmarkStart w:id="265" w:name="_Toc27248"/>
      <w:bookmarkStart w:id="266" w:name="_Toc25955"/>
      <w:bookmarkStart w:id="267" w:name="_Toc27664"/>
      <w:bookmarkStart w:id="268" w:name="_Toc522140500"/>
      <w:bookmarkStart w:id="269" w:name="_Toc13867"/>
      <w:bookmarkStart w:id="270" w:name="_Toc520823472"/>
      <w:bookmarkStart w:id="271" w:name="_Toc299889770"/>
      <w:bookmarkStart w:id="272" w:name="_Toc3079"/>
      <w:bookmarkStart w:id="273" w:name="_Toc520709303"/>
      <w:bookmarkStart w:id="274" w:name="_Toc27360"/>
      <w:r>
        <w:rPr>
          <w:rFonts w:hint="eastAsia"/>
          <w:color w:val="auto"/>
          <w:highlight w:val="none"/>
          <w:lang w:val="en-US" w:eastAsia="zh-CN"/>
        </w:rPr>
        <w:t>吸水管系统设计</w:t>
      </w:r>
      <w:bookmarkEnd w:id="265"/>
      <w:bookmarkEnd w:id="266"/>
      <w:bookmarkEnd w:id="267"/>
      <w:bookmarkEnd w:id="268"/>
      <w:bookmarkEnd w:id="269"/>
      <w:bookmarkEnd w:id="270"/>
      <w:bookmarkEnd w:id="271"/>
      <w:bookmarkEnd w:id="272"/>
      <w:bookmarkEnd w:id="273"/>
      <w:bookmarkEnd w:id="274"/>
    </w:p>
    <w:p w14:paraId="1004E627">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sz w:val="21"/>
          <w:szCs w:val="21"/>
          <w:highlight w:val="none"/>
        </w:rPr>
      </w:pPr>
      <w:r>
        <w:rPr>
          <w:color w:val="auto"/>
          <w:sz w:val="21"/>
          <w:szCs w:val="21"/>
          <w:highlight w:val="none"/>
        </w:rPr>
        <w:t>吸水管的铺设深度、长度、管径、间距、纵向比降等应根据暗管排水项目规划区的地形、水文气象、土壤、地下水动态变化、水流方向、作物种类调查</w:t>
      </w:r>
      <w:r>
        <w:rPr>
          <w:rFonts w:hint="eastAsia"/>
          <w:color w:val="auto"/>
          <w:sz w:val="21"/>
          <w:szCs w:val="21"/>
          <w:highlight w:val="none"/>
          <w:lang w:val="en-US" w:eastAsia="zh-CN"/>
        </w:rPr>
        <w:t>及</w:t>
      </w:r>
      <w:r>
        <w:rPr>
          <w:color w:val="auto"/>
          <w:sz w:val="21"/>
          <w:szCs w:val="21"/>
          <w:highlight w:val="none"/>
        </w:rPr>
        <w:t>试验数据，按</w:t>
      </w:r>
      <w:r>
        <w:rPr>
          <w:rFonts w:hint="eastAsia"/>
          <w:color w:val="auto"/>
          <w:sz w:val="21"/>
          <w:szCs w:val="21"/>
          <w:highlight w:val="none"/>
          <w:lang w:val="en-US" w:eastAsia="zh-CN"/>
        </w:rPr>
        <w:t>以下条款</w:t>
      </w:r>
      <w:r>
        <w:rPr>
          <w:color w:val="auto"/>
          <w:sz w:val="21"/>
          <w:szCs w:val="21"/>
          <w:highlight w:val="none"/>
        </w:rPr>
        <w:t>计算与比选确定。</w:t>
      </w:r>
    </w:p>
    <w:p w14:paraId="4510F6D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ascii="黑体" w:hAnsi="黑体" w:eastAsia="黑体" w:cs="黑体"/>
          <w:color w:val="auto"/>
          <w:sz w:val="21"/>
          <w:szCs w:val="21"/>
          <w:highlight w:val="none"/>
        </w:rPr>
      </w:pPr>
      <w:r>
        <w:rPr>
          <w:rFonts w:hint="eastAsia" w:ascii="黑体" w:hAnsi="Times New Roman" w:eastAsia="黑体" w:cs="Times New Roman"/>
          <w:color w:val="auto"/>
          <w:sz w:val="21"/>
          <w:szCs w:val="21"/>
          <w:highlight w:val="none"/>
          <w:lang w:val="en-US" w:eastAsia="zh-CN" w:bidi="ar-SA"/>
        </w:rPr>
        <w:t>6.3.1 吸</w:t>
      </w:r>
      <w:r>
        <w:rPr>
          <w:rFonts w:hint="eastAsia" w:ascii="黑体" w:hAnsi="黑体" w:eastAsia="黑体" w:cs="黑体"/>
          <w:color w:val="auto"/>
          <w:sz w:val="21"/>
          <w:szCs w:val="21"/>
          <w:highlight w:val="none"/>
        </w:rPr>
        <w:t>水管埋深</w:t>
      </w:r>
    </w:p>
    <w:p w14:paraId="1AD1052E">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sz w:val="21"/>
          <w:szCs w:val="21"/>
          <w:highlight w:val="none"/>
        </w:rPr>
      </w:pPr>
      <w:r>
        <w:rPr>
          <w:color w:val="auto"/>
          <w:sz w:val="21"/>
          <w:szCs w:val="21"/>
          <w:highlight w:val="none"/>
        </w:rPr>
        <w:t>吸水管埋深</w:t>
      </w:r>
      <w:r>
        <w:rPr>
          <w:rFonts w:hint="eastAsia"/>
          <w:color w:val="auto"/>
          <w:sz w:val="21"/>
          <w:szCs w:val="21"/>
          <w:highlight w:val="none"/>
        </w:rPr>
        <w:t>按</w:t>
      </w:r>
      <w:r>
        <w:rPr>
          <w:rFonts w:hint="eastAsia"/>
          <w:color w:val="auto"/>
          <w:sz w:val="21"/>
          <w:szCs w:val="21"/>
          <w:highlight w:val="none"/>
          <w:lang w:val="en-US" w:eastAsia="zh-CN"/>
        </w:rPr>
        <w:t>下</w:t>
      </w:r>
      <w:r>
        <w:rPr>
          <w:rFonts w:hint="eastAsia"/>
          <w:color w:val="auto"/>
          <w:sz w:val="21"/>
          <w:szCs w:val="21"/>
          <w:highlight w:val="none"/>
        </w:rPr>
        <w:t>式计算</w:t>
      </w:r>
      <w:r>
        <w:rPr>
          <w:rFonts w:hint="eastAsia"/>
          <w:color w:val="auto"/>
          <w:sz w:val="21"/>
          <w:szCs w:val="21"/>
          <w:highlight w:val="none"/>
          <w:lang w:eastAsia="zh-CN"/>
        </w:rPr>
        <w:t>：</w:t>
      </w:r>
    </w:p>
    <w:p w14:paraId="6E8042EA">
      <w:pPr>
        <w:pStyle w:val="155"/>
        <w:jc w:val="right"/>
        <w:rPr>
          <w:rFonts w:hint="eastAsia"/>
          <w:color w:val="auto"/>
          <w:sz w:val="24"/>
          <w:szCs w:val="24"/>
          <w:highlight w:val="none"/>
        </w:rPr>
      </w:pPr>
      <w:r>
        <w:rPr>
          <w:rFonts w:hint="eastAsia"/>
          <w:color w:val="auto"/>
          <w:sz w:val="24"/>
          <w:szCs w:val="24"/>
          <w:highlight w:val="none"/>
          <w:lang w:val="en-US" w:eastAsia="zh-CN"/>
        </w:rPr>
        <w:t xml:space="preserve">                            </w:t>
      </w:r>
      <w:r>
        <w:rPr>
          <w:color w:val="auto"/>
          <w:position w:val="-14"/>
          <w:sz w:val="24"/>
          <w:szCs w:val="24"/>
          <w:highlight w:val="none"/>
        </w:rPr>
        <w:object>
          <v:shape id="_x0000_i1032" o:spt="75" type="#_x0000_t75" style="height:19pt;width:84pt;" o:ole="t" filled="f" o:preferrelative="t" stroked="f" coordsize="21600,21600">
            <v:path/>
            <v:fill on="f" focussize="0,0"/>
            <v:stroke on="f"/>
            <v:imagedata r:id="rId27" o:title=""/>
            <o:lock v:ext="edit" aspectratio="t"/>
            <w10:wrap type="none"/>
            <w10:anchorlock/>
          </v:shape>
          <o:OLEObject Type="Embed" ProgID="Equation.KSEE3" ShapeID="_x0000_i1032" DrawAspect="Content" ObjectID="_1468075732" r:id="rId26">
            <o:LockedField>false</o:LockedField>
          </o:OLEObject>
        </w:object>
      </w:r>
      <w:r>
        <w:rPr>
          <w:color w:val="auto"/>
          <w:sz w:val="24"/>
          <w:szCs w:val="24"/>
          <w:highlight w:val="none"/>
        </w:rPr>
        <w:t xml:space="preserve">  </w:t>
      </w:r>
      <w:r>
        <w:rPr>
          <w:rFonts w:hint="eastAsia"/>
          <w:color w:val="auto"/>
          <w:sz w:val="24"/>
          <w:szCs w:val="24"/>
          <w:highlight w:val="none"/>
          <w:lang w:val="en-US" w:eastAsia="zh-CN"/>
        </w:rPr>
        <w:t xml:space="preserve">                      </w:t>
      </w:r>
      <w:r>
        <w:rPr>
          <w:rFonts w:hint="eastAsia"/>
          <w:color w:val="auto"/>
          <w:sz w:val="21"/>
          <w:szCs w:val="21"/>
          <w:highlight w:val="none"/>
        </w:rPr>
        <w:t>（</w:t>
      </w:r>
      <w:r>
        <w:rPr>
          <w:color w:val="auto"/>
          <w:sz w:val="21"/>
          <w:szCs w:val="21"/>
          <w:highlight w:val="none"/>
        </w:rPr>
        <w:t>6.3-1</w:t>
      </w:r>
      <w:r>
        <w:rPr>
          <w:rFonts w:hint="eastAsia"/>
          <w:color w:val="auto"/>
          <w:sz w:val="21"/>
          <w:szCs w:val="21"/>
          <w:highlight w:val="none"/>
        </w:rPr>
        <w:t>）</w:t>
      </w:r>
    </w:p>
    <w:p w14:paraId="1309982F">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ascii="Times New Roman"/>
          <w:color w:val="auto"/>
          <w:sz w:val="21"/>
          <w:szCs w:val="21"/>
          <w:highlight w:val="none"/>
        </w:rPr>
      </w:pPr>
      <w:r>
        <w:rPr>
          <w:rFonts w:ascii="Times New Roman"/>
          <w:color w:val="auto"/>
          <w:sz w:val="21"/>
          <w:szCs w:val="21"/>
          <w:highlight w:val="none"/>
        </w:rPr>
        <w:t>式中</w:t>
      </w:r>
      <w:r>
        <w:rPr>
          <w:rFonts w:hint="eastAsia" w:ascii="Times New Roman"/>
          <w:color w:val="auto"/>
          <w:sz w:val="21"/>
          <w:szCs w:val="21"/>
          <w:highlight w:val="none"/>
        </w:rPr>
        <w:t>：</w:t>
      </w:r>
    </w:p>
    <w:p w14:paraId="16D4B39A">
      <w:pPr>
        <w:pStyle w:val="25"/>
        <w:keepNext w:val="0"/>
        <w:keepLines w:val="0"/>
        <w:pageBreakBefore w:val="0"/>
        <w:widowControl/>
        <w:kinsoku/>
        <w:wordWrap/>
        <w:overflowPunct/>
        <w:topLinePunct w:val="0"/>
        <w:bidi w:val="0"/>
        <w:adjustRightInd w:val="0"/>
        <w:snapToGrid w:val="0"/>
        <w:spacing w:line="240" w:lineRule="auto"/>
        <w:textAlignment w:val="auto"/>
        <w:rPr>
          <w:rFonts w:ascii="Times New Roman"/>
          <w:color w:val="auto"/>
          <w:sz w:val="21"/>
          <w:szCs w:val="21"/>
          <w:highlight w:val="none"/>
        </w:rPr>
      </w:pPr>
      <w:r>
        <w:rPr>
          <w:rFonts w:ascii="Times New Roman"/>
          <w:i/>
          <w:iCs/>
          <w:color w:val="auto"/>
          <w:sz w:val="21"/>
          <w:szCs w:val="21"/>
          <w:highlight w:val="none"/>
        </w:rPr>
        <w:t>h</w:t>
      </w:r>
      <w:r>
        <w:rPr>
          <w:rFonts w:ascii="Times New Roman"/>
          <w:i/>
          <w:iCs/>
          <w:color w:val="auto"/>
          <w:sz w:val="21"/>
          <w:szCs w:val="21"/>
          <w:highlight w:val="none"/>
          <w:vertAlign w:val="subscript"/>
        </w:rPr>
        <w:t>dp</w:t>
      </w:r>
      <w:r>
        <w:rPr>
          <w:rFonts w:ascii="Times New Roman"/>
          <w:color w:val="auto"/>
          <w:highlight w:val="none"/>
        </w:rPr>
        <w:t>——</w:t>
      </w:r>
      <w:r>
        <w:rPr>
          <w:rFonts w:ascii="Times New Roman"/>
          <w:color w:val="auto"/>
          <w:sz w:val="21"/>
          <w:szCs w:val="21"/>
          <w:highlight w:val="none"/>
        </w:rPr>
        <w:t>调控地下水位的吸水管埋深，m；</w:t>
      </w:r>
    </w:p>
    <w:p w14:paraId="4391E75E">
      <w:pPr>
        <w:pStyle w:val="25"/>
        <w:keepNext w:val="0"/>
        <w:keepLines w:val="0"/>
        <w:pageBreakBefore w:val="0"/>
        <w:widowControl/>
        <w:kinsoku/>
        <w:wordWrap/>
        <w:overflowPunct/>
        <w:topLinePunct w:val="0"/>
        <w:bidi w:val="0"/>
        <w:adjustRightInd w:val="0"/>
        <w:snapToGrid w:val="0"/>
        <w:spacing w:line="240" w:lineRule="auto"/>
        <w:textAlignment w:val="auto"/>
        <w:rPr>
          <w:rFonts w:ascii="Times New Roman"/>
          <w:color w:val="auto"/>
          <w:sz w:val="21"/>
          <w:szCs w:val="21"/>
          <w:highlight w:val="none"/>
        </w:rPr>
      </w:pPr>
      <w:r>
        <w:rPr>
          <w:rFonts w:ascii="Times New Roman"/>
          <w:i/>
          <w:iCs/>
          <w:color w:val="auto"/>
          <w:sz w:val="21"/>
          <w:szCs w:val="21"/>
          <w:highlight w:val="none"/>
        </w:rPr>
        <w:t>h</w:t>
      </w:r>
      <w:r>
        <w:rPr>
          <w:rFonts w:ascii="Times New Roman"/>
          <w:color w:val="auto"/>
          <w:highlight w:val="none"/>
        </w:rPr>
        <w:t>——</w:t>
      </w:r>
      <w:r>
        <w:rPr>
          <w:rFonts w:ascii="Times New Roman"/>
          <w:color w:val="auto"/>
          <w:sz w:val="21"/>
          <w:szCs w:val="21"/>
          <w:highlight w:val="none"/>
        </w:rPr>
        <w:t>排渍深度或地下水临界深度，m；</w:t>
      </w:r>
    </w:p>
    <w:p w14:paraId="33618FB6">
      <w:pPr>
        <w:pStyle w:val="25"/>
        <w:keepNext w:val="0"/>
        <w:keepLines w:val="0"/>
        <w:pageBreakBefore w:val="0"/>
        <w:widowControl/>
        <w:kinsoku/>
        <w:wordWrap/>
        <w:overflowPunct/>
        <w:topLinePunct w:val="0"/>
        <w:bidi w:val="0"/>
        <w:adjustRightInd w:val="0"/>
        <w:snapToGrid w:val="0"/>
        <w:spacing w:line="240" w:lineRule="auto"/>
        <w:textAlignment w:val="auto"/>
        <w:rPr>
          <w:rFonts w:ascii="Times New Roman"/>
          <w:color w:val="auto"/>
          <w:sz w:val="21"/>
          <w:szCs w:val="21"/>
          <w:highlight w:val="none"/>
        </w:rPr>
      </w:pPr>
      <w:r>
        <w:rPr>
          <w:rFonts w:ascii="Times New Roman"/>
          <w:color w:val="auto"/>
          <w:sz w:val="21"/>
          <w:szCs w:val="21"/>
          <w:highlight w:val="none"/>
        </w:rPr>
        <w:t>∆</w:t>
      </w:r>
      <w:r>
        <w:rPr>
          <w:rFonts w:ascii="Times New Roman"/>
          <w:i/>
          <w:iCs/>
          <w:color w:val="auto"/>
          <w:sz w:val="21"/>
          <w:szCs w:val="21"/>
          <w:highlight w:val="none"/>
        </w:rPr>
        <w:t>H</w:t>
      </w:r>
      <w:r>
        <w:rPr>
          <w:rFonts w:ascii="Times New Roman"/>
          <w:color w:val="auto"/>
          <w:highlight w:val="none"/>
        </w:rPr>
        <w:t>——</w:t>
      </w:r>
      <w:r>
        <w:rPr>
          <w:rFonts w:ascii="Times New Roman"/>
          <w:color w:val="auto"/>
          <w:sz w:val="21"/>
          <w:szCs w:val="21"/>
          <w:highlight w:val="none"/>
        </w:rPr>
        <w:t>剩余水头或滞留水头，m，宜采用0.2</w:t>
      </w:r>
      <w:r>
        <w:rPr>
          <w:rFonts w:hint="eastAsia" w:ascii="Times New Roman"/>
          <w:color w:val="auto"/>
          <w:highlight w:val="none"/>
        </w:rPr>
        <w:t>～</w:t>
      </w:r>
      <w:r>
        <w:rPr>
          <w:rFonts w:ascii="Times New Roman"/>
          <w:color w:val="auto"/>
          <w:sz w:val="21"/>
          <w:szCs w:val="21"/>
          <w:highlight w:val="none"/>
        </w:rPr>
        <w:t>0.3m；</w:t>
      </w:r>
    </w:p>
    <w:p w14:paraId="4B7CE03C">
      <w:pPr>
        <w:pStyle w:val="25"/>
        <w:keepNext w:val="0"/>
        <w:keepLines w:val="0"/>
        <w:pageBreakBefore w:val="0"/>
        <w:widowControl/>
        <w:kinsoku/>
        <w:wordWrap/>
        <w:overflowPunct/>
        <w:topLinePunct w:val="0"/>
        <w:bidi w:val="0"/>
        <w:adjustRightInd w:val="0"/>
        <w:snapToGrid w:val="0"/>
        <w:spacing w:line="240" w:lineRule="auto"/>
        <w:textAlignment w:val="auto"/>
        <w:rPr>
          <w:rFonts w:ascii="Times New Roman"/>
          <w:color w:val="auto"/>
          <w:sz w:val="21"/>
          <w:szCs w:val="21"/>
          <w:highlight w:val="none"/>
        </w:rPr>
      </w:pPr>
      <w:r>
        <w:rPr>
          <w:rFonts w:ascii="Times New Roman"/>
          <w:i/>
          <w:iCs/>
          <w:color w:val="auto"/>
          <w:sz w:val="21"/>
          <w:szCs w:val="21"/>
          <w:highlight w:val="none"/>
        </w:rPr>
        <w:t>h</w:t>
      </w:r>
      <w:r>
        <w:rPr>
          <w:rFonts w:ascii="Times New Roman"/>
          <w:color w:val="auto"/>
          <w:sz w:val="21"/>
          <w:szCs w:val="21"/>
          <w:highlight w:val="none"/>
          <w:vertAlign w:val="subscript"/>
        </w:rPr>
        <w:t>0</w:t>
      </w:r>
      <w:r>
        <w:rPr>
          <w:rFonts w:ascii="Times New Roman"/>
          <w:color w:val="auto"/>
          <w:highlight w:val="none"/>
        </w:rPr>
        <w:t>——</w:t>
      </w:r>
      <w:r>
        <w:rPr>
          <w:rFonts w:ascii="Times New Roman"/>
          <w:color w:val="auto"/>
          <w:sz w:val="21"/>
          <w:szCs w:val="21"/>
          <w:highlight w:val="none"/>
        </w:rPr>
        <w:t>排地下水时的管中水深，m，当管内充满水时取管顶水头，否则，取吸水管半径水深。</w:t>
      </w:r>
    </w:p>
    <w:p w14:paraId="1D45BC1D">
      <w:pPr>
        <w:pStyle w:val="117"/>
        <w:keepNext w:val="0"/>
        <w:keepLines w:val="0"/>
        <w:pageBreakBefore w:val="0"/>
        <w:widowControl/>
        <w:numPr>
          <w:ilvl w:val="0"/>
          <w:numId w:val="0"/>
        </w:numPr>
        <w:kinsoku/>
        <w:wordWrap/>
        <w:overflowPunct/>
        <w:topLinePunct w:val="0"/>
        <w:bidi w:val="0"/>
        <w:adjustRightInd w:val="0"/>
        <w:snapToGrid w:val="0"/>
        <w:spacing w:line="240" w:lineRule="auto"/>
        <w:ind w:firstLine="420" w:firstLineChars="200"/>
        <w:jc w:val="both"/>
        <w:textAlignment w:val="auto"/>
        <w:rPr>
          <w:color w:val="auto"/>
          <w:sz w:val="21"/>
          <w:szCs w:val="21"/>
          <w:highlight w:val="none"/>
        </w:rPr>
      </w:pPr>
      <w:r>
        <w:rPr>
          <w:rFonts w:hint="eastAsia"/>
          <w:color w:val="auto"/>
          <w:sz w:val="21"/>
          <w:szCs w:val="21"/>
          <w:highlight w:val="none"/>
        </w:rPr>
        <w:t>宁夏处于季节性冻土</w:t>
      </w:r>
      <w:r>
        <w:rPr>
          <w:color w:val="auto"/>
          <w:sz w:val="21"/>
          <w:szCs w:val="21"/>
          <w:highlight w:val="none"/>
        </w:rPr>
        <w:t>地区</w:t>
      </w:r>
      <w:r>
        <w:rPr>
          <w:rFonts w:hint="eastAsia"/>
          <w:color w:val="auto"/>
          <w:sz w:val="21"/>
          <w:szCs w:val="21"/>
          <w:highlight w:val="none"/>
        </w:rPr>
        <w:t>，</w:t>
      </w:r>
      <w:r>
        <w:rPr>
          <w:color w:val="auto"/>
          <w:sz w:val="21"/>
          <w:szCs w:val="21"/>
          <w:highlight w:val="none"/>
        </w:rPr>
        <w:t>暗管的埋深</w:t>
      </w:r>
      <w:r>
        <w:rPr>
          <w:rFonts w:hint="eastAsia"/>
          <w:color w:val="auto"/>
          <w:sz w:val="21"/>
          <w:szCs w:val="21"/>
          <w:highlight w:val="none"/>
        </w:rPr>
        <w:t>在</w:t>
      </w:r>
      <w:r>
        <w:rPr>
          <w:color w:val="auto"/>
          <w:sz w:val="21"/>
          <w:szCs w:val="21"/>
          <w:highlight w:val="none"/>
        </w:rPr>
        <w:t>满足治渍或防治盐碱化排水要求</w:t>
      </w:r>
      <w:r>
        <w:rPr>
          <w:rFonts w:hint="eastAsia"/>
          <w:color w:val="auto"/>
          <w:sz w:val="21"/>
          <w:szCs w:val="21"/>
          <w:highlight w:val="none"/>
        </w:rPr>
        <w:t>的基础上</w:t>
      </w:r>
      <w:r>
        <w:rPr>
          <w:color w:val="auto"/>
          <w:sz w:val="21"/>
          <w:szCs w:val="21"/>
          <w:highlight w:val="none"/>
        </w:rPr>
        <w:t>，暗管埋深宜大于</w:t>
      </w:r>
      <w:r>
        <w:rPr>
          <w:rFonts w:hint="eastAsia"/>
          <w:color w:val="auto"/>
          <w:sz w:val="21"/>
          <w:szCs w:val="21"/>
          <w:highlight w:val="none"/>
        </w:rPr>
        <w:t>灌区土壤</w:t>
      </w:r>
      <w:r>
        <w:rPr>
          <w:color w:val="auto"/>
          <w:sz w:val="21"/>
          <w:szCs w:val="21"/>
          <w:highlight w:val="none"/>
        </w:rPr>
        <w:t>最大冻</w:t>
      </w:r>
      <w:r>
        <w:rPr>
          <w:rFonts w:hint="eastAsia"/>
          <w:color w:val="auto"/>
          <w:sz w:val="21"/>
          <w:szCs w:val="21"/>
          <w:highlight w:val="none"/>
        </w:rPr>
        <w:t>结深度，引黄灌区土壤最大冻结深度取值为80cm</w:t>
      </w:r>
      <w:r>
        <w:rPr>
          <w:color w:val="auto"/>
          <w:sz w:val="21"/>
          <w:szCs w:val="21"/>
          <w:highlight w:val="none"/>
        </w:rPr>
        <w:t>。</w:t>
      </w:r>
    </w:p>
    <w:p w14:paraId="21A2C96F">
      <w:pPr>
        <w:pStyle w:val="117"/>
        <w:keepNext w:val="0"/>
        <w:keepLines w:val="0"/>
        <w:pageBreakBefore w:val="0"/>
        <w:widowControl/>
        <w:numPr>
          <w:ilvl w:val="0"/>
          <w:numId w:val="0"/>
        </w:numPr>
        <w:kinsoku/>
        <w:wordWrap/>
        <w:overflowPunct/>
        <w:topLinePunct w:val="0"/>
        <w:bidi w:val="0"/>
        <w:adjustRightInd w:val="0"/>
        <w:snapToGrid w:val="0"/>
        <w:spacing w:line="240" w:lineRule="auto"/>
        <w:textAlignment w:val="auto"/>
        <w:rPr>
          <w:color w:val="auto"/>
          <w:sz w:val="21"/>
          <w:szCs w:val="21"/>
          <w:highlight w:val="none"/>
        </w:rPr>
      </w:pPr>
      <w:r>
        <w:rPr>
          <w:rFonts w:hint="eastAsia" w:ascii="黑体" w:hAnsi="Times New Roman" w:eastAsia="黑体" w:cs="Times New Roman"/>
          <w:color w:val="auto"/>
          <w:sz w:val="21"/>
          <w:szCs w:val="21"/>
          <w:highlight w:val="none"/>
          <w:lang w:val="en-US" w:eastAsia="zh-CN" w:bidi="ar-SA"/>
        </w:rPr>
        <w:t>6.3.2 吸</w:t>
      </w:r>
      <w:r>
        <w:rPr>
          <w:rFonts w:hint="eastAsia" w:ascii="黑体" w:hAnsi="黑体" w:eastAsia="黑体" w:cs="黑体"/>
          <w:color w:val="auto"/>
          <w:sz w:val="21"/>
          <w:szCs w:val="21"/>
          <w:highlight w:val="none"/>
        </w:rPr>
        <w:t>水管间距</w:t>
      </w:r>
    </w:p>
    <w:p w14:paraId="1F4899FF">
      <w:pPr>
        <w:pStyle w:val="117"/>
        <w:keepNext w:val="0"/>
        <w:keepLines w:val="0"/>
        <w:pageBreakBefore w:val="0"/>
        <w:widowControl/>
        <w:numPr>
          <w:ilvl w:val="0"/>
          <w:numId w:val="0"/>
        </w:numPr>
        <w:kinsoku/>
        <w:wordWrap/>
        <w:overflowPunct/>
        <w:topLinePunct w:val="0"/>
        <w:bidi w:val="0"/>
        <w:adjustRightInd w:val="0"/>
        <w:snapToGrid w:val="0"/>
        <w:spacing w:line="240" w:lineRule="auto"/>
        <w:ind w:firstLine="420" w:firstLineChars="200"/>
        <w:textAlignment w:val="auto"/>
        <w:rPr>
          <w:rFonts w:hint="eastAsia" w:ascii="宋体" w:hAnsi="宋体" w:eastAsia="宋体" w:cs="宋体"/>
          <w:color w:val="auto"/>
          <w:sz w:val="21"/>
          <w:szCs w:val="21"/>
          <w:highlight w:val="none"/>
        </w:rPr>
      </w:pPr>
      <w:r>
        <w:rPr>
          <w:color w:val="auto"/>
          <w:sz w:val="21"/>
          <w:szCs w:val="21"/>
          <w:highlight w:val="none"/>
        </w:rPr>
        <w:t>吸水管间距可以采用以下三种方法确定并选较小者。（</w:t>
      </w:r>
      <w:r>
        <w:rPr>
          <w:rFonts w:hint="eastAsia"/>
          <w:color w:val="auto"/>
          <w:sz w:val="21"/>
          <w:szCs w:val="21"/>
          <w:highlight w:val="none"/>
        </w:rPr>
        <w:t>1）</w:t>
      </w:r>
      <w:r>
        <w:rPr>
          <w:color w:val="auto"/>
          <w:sz w:val="21"/>
          <w:szCs w:val="21"/>
          <w:highlight w:val="none"/>
        </w:rPr>
        <w:t>排水试验法，按SL109的要求确定</w:t>
      </w:r>
      <w:r>
        <w:rPr>
          <w:rFonts w:hint="eastAsia"/>
          <w:color w:val="auto"/>
          <w:sz w:val="21"/>
          <w:szCs w:val="21"/>
          <w:highlight w:val="none"/>
        </w:rPr>
        <w:t>；（2）</w:t>
      </w:r>
      <w:r>
        <w:rPr>
          <w:color w:val="auto"/>
          <w:sz w:val="21"/>
          <w:szCs w:val="21"/>
          <w:highlight w:val="none"/>
        </w:rPr>
        <w:t>公式计算法，按附录G选用适当公式计算确定</w:t>
      </w:r>
      <w:r>
        <w:rPr>
          <w:rFonts w:hint="eastAsia"/>
          <w:color w:val="auto"/>
          <w:sz w:val="21"/>
          <w:szCs w:val="21"/>
          <w:highlight w:val="none"/>
        </w:rPr>
        <w:t>；（3）</w:t>
      </w:r>
      <w:r>
        <w:rPr>
          <w:color w:val="auto"/>
          <w:sz w:val="21"/>
          <w:szCs w:val="21"/>
          <w:highlight w:val="none"/>
        </w:rPr>
        <w:t>经验数值法，按当地或类似地区实践经验确定的</w:t>
      </w:r>
      <w:r>
        <w:rPr>
          <w:rFonts w:hint="eastAsia" w:ascii="宋体" w:hAnsi="宋体" w:eastAsia="宋体" w:cs="宋体"/>
          <w:color w:val="auto"/>
          <w:sz w:val="21"/>
          <w:szCs w:val="21"/>
          <w:highlight w:val="none"/>
        </w:rPr>
        <w:t>经验值选用。</w:t>
      </w:r>
    </w:p>
    <w:p w14:paraId="310500D3">
      <w:pPr>
        <w:pStyle w:val="117"/>
        <w:keepNext w:val="0"/>
        <w:keepLines w:val="0"/>
        <w:pageBreakBefore w:val="0"/>
        <w:widowControl/>
        <w:numPr>
          <w:ilvl w:val="0"/>
          <w:numId w:val="0"/>
        </w:numPr>
        <w:kinsoku/>
        <w:wordWrap/>
        <w:overflowPunct/>
        <w:topLinePunct w:val="0"/>
        <w:bidi w:val="0"/>
        <w:adjustRightInd w:val="0"/>
        <w:snapToGrid w:val="0"/>
        <w:spacing w:line="240" w:lineRule="auto"/>
        <w:textAlignment w:val="auto"/>
        <w:rPr>
          <w:color w:val="auto"/>
          <w:sz w:val="21"/>
          <w:szCs w:val="21"/>
          <w:highlight w:val="none"/>
        </w:rPr>
      </w:pPr>
      <w:r>
        <w:rPr>
          <w:rFonts w:hint="eastAsia" w:ascii="黑体" w:hAnsi="Times New Roman" w:eastAsia="黑体" w:cs="Times New Roman"/>
          <w:color w:val="auto"/>
          <w:sz w:val="21"/>
          <w:szCs w:val="21"/>
          <w:highlight w:val="none"/>
          <w:lang w:val="en-US" w:eastAsia="zh-CN" w:bidi="ar-SA"/>
        </w:rPr>
        <w:t>6.3.3 吸水</w:t>
      </w:r>
      <w:r>
        <w:rPr>
          <w:rFonts w:hint="eastAsia" w:ascii="黑体" w:hAnsi="黑体" w:eastAsia="黑体" w:cs="黑体"/>
          <w:color w:val="auto"/>
          <w:sz w:val="21"/>
          <w:szCs w:val="21"/>
          <w:highlight w:val="none"/>
        </w:rPr>
        <w:t>管内径</w:t>
      </w:r>
    </w:p>
    <w:p w14:paraId="524AFFAE">
      <w:pPr>
        <w:pStyle w:val="117"/>
        <w:keepNext w:val="0"/>
        <w:keepLines w:val="0"/>
        <w:pageBreakBefore w:val="0"/>
        <w:widowControl/>
        <w:numPr>
          <w:ilvl w:val="0"/>
          <w:numId w:val="0"/>
        </w:numPr>
        <w:kinsoku/>
        <w:wordWrap/>
        <w:overflowPunct/>
        <w:topLinePunct w:val="0"/>
        <w:bidi w:val="0"/>
        <w:adjustRightInd w:val="0"/>
        <w:snapToGrid w:val="0"/>
        <w:spacing w:line="240" w:lineRule="auto"/>
        <w:ind w:firstLine="420" w:firstLineChars="200"/>
        <w:textAlignment w:val="auto"/>
        <w:rPr>
          <w:color w:val="auto"/>
          <w:sz w:val="21"/>
          <w:szCs w:val="21"/>
          <w:highlight w:val="none"/>
        </w:rPr>
      </w:pPr>
      <w:r>
        <w:rPr>
          <w:color w:val="auto"/>
          <w:sz w:val="21"/>
          <w:szCs w:val="21"/>
          <w:highlight w:val="none"/>
        </w:rPr>
        <w:t>吸水管内径的确定应符合下列规定</w:t>
      </w:r>
      <w:r>
        <w:rPr>
          <w:rFonts w:hint="eastAsia"/>
          <w:color w:val="auto"/>
          <w:sz w:val="21"/>
          <w:szCs w:val="21"/>
          <w:highlight w:val="none"/>
        </w:rPr>
        <w:t>：</w:t>
      </w:r>
    </w:p>
    <w:p w14:paraId="6479A1FD">
      <w:pPr>
        <w:pStyle w:val="85"/>
        <w:keepNext w:val="0"/>
        <w:keepLines w:val="0"/>
        <w:pageBreakBefore w:val="0"/>
        <w:widowControl/>
        <w:numPr>
          <w:ilvl w:val="0"/>
          <w:numId w:val="0"/>
        </w:numPr>
        <w:tabs>
          <w:tab w:val="clear" w:pos="845"/>
        </w:tabs>
        <w:kinsoku/>
        <w:wordWrap/>
        <w:overflowPunct/>
        <w:topLinePunct w:val="0"/>
        <w:bidi w:val="0"/>
        <w:adjustRightInd w:val="0"/>
        <w:snapToGrid w:val="0"/>
        <w:spacing w:line="240" w:lineRule="auto"/>
        <w:ind w:firstLine="420" w:firstLineChars="200"/>
        <w:textAlignment w:val="auto"/>
        <w:rPr>
          <w:color w:val="auto"/>
          <w:sz w:val="21"/>
          <w:szCs w:val="21"/>
          <w:highlight w:val="none"/>
        </w:rPr>
      </w:pPr>
      <w:r>
        <w:rPr>
          <w:rFonts w:hint="eastAsia"/>
          <w:color w:val="auto"/>
          <w:sz w:val="21"/>
          <w:szCs w:val="21"/>
          <w:highlight w:val="none"/>
        </w:rPr>
        <w:t>（1）</w:t>
      </w:r>
      <w:r>
        <w:rPr>
          <w:color w:val="auto"/>
          <w:sz w:val="21"/>
          <w:szCs w:val="21"/>
          <w:highlight w:val="none"/>
        </w:rPr>
        <w:t>吸水管的设计流量按下式计算</w:t>
      </w:r>
    </w:p>
    <w:p w14:paraId="5271AEC9">
      <w:pPr>
        <w:pStyle w:val="155"/>
        <w:keepNext w:val="0"/>
        <w:keepLines w:val="0"/>
        <w:pageBreakBefore w:val="0"/>
        <w:widowControl/>
        <w:kinsoku/>
        <w:wordWrap/>
        <w:overflowPunct/>
        <w:topLinePunct w:val="0"/>
        <w:bidi w:val="0"/>
        <w:spacing w:line="240" w:lineRule="auto"/>
        <w:jc w:val="center"/>
        <w:textAlignment w:val="auto"/>
        <w:rPr>
          <w:rFonts w:hint="eastAsia"/>
          <w:color w:val="auto"/>
          <w:highlight w:val="none"/>
        </w:rPr>
      </w:pPr>
      <w:r>
        <w:rPr>
          <w:rFonts w:hint="eastAsia"/>
          <w:color w:val="auto"/>
          <w:highlight w:val="none"/>
          <w:lang w:val="en-US" w:eastAsia="zh-CN"/>
        </w:rPr>
        <w:t xml:space="preserve">                                      </w:t>
      </w:r>
      <w:r>
        <w:rPr>
          <w:color w:val="auto"/>
          <w:position w:val="-10"/>
          <w:highlight w:val="none"/>
        </w:rPr>
        <w:object>
          <v:shape id="_x0000_i1033" o:spt="75" type="#_x0000_t75" style="height:14.15pt;width:39.8pt;" o:ole="t" filled="f" o:preferrelative="t" stroked="f" coordsize="21600,21600">
            <v:path/>
            <v:fill on="f" focussize="0,0"/>
            <v:stroke on="f"/>
            <v:imagedata r:id="rId29" o:title=""/>
            <o:lock v:ext="edit" aspectratio="t"/>
            <w10:wrap type="none"/>
            <w10:anchorlock/>
          </v:shape>
          <o:OLEObject Type="Embed" ProgID="Equation.KSEE3" ShapeID="_x0000_i1033" DrawAspect="Content" ObjectID="_1468075733" r:id="rId28">
            <o:LockedField>false</o:LockedField>
          </o:OLEObject>
        </w:object>
      </w:r>
      <w:r>
        <w:rPr>
          <w:color w:val="auto"/>
          <w:highlight w:val="none"/>
        </w:rPr>
        <w:t xml:space="preserve">   </w:t>
      </w:r>
      <w:r>
        <w:rPr>
          <w:rFonts w:hint="eastAsia"/>
          <w:color w:val="auto"/>
          <w:highlight w:val="none"/>
          <w:lang w:val="en-US" w:eastAsia="zh-CN"/>
        </w:rPr>
        <w:t xml:space="preserve">                              </w:t>
      </w:r>
      <w:r>
        <w:rPr>
          <w:rFonts w:hint="eastAsia"/>
          <w:color w:val="auto"/>
          <w:highlight w:val="none"/>
        </w:rPr>
        <w:t>（</w:t>
      </w:r>
      <w:r>
        <w:rPr>
          <w:color w:val="auto"/>
          <w:highlight w:val="none"/>
        </w:rPr>
        <w:t>6.3-2</w:t>
      </w:r>
      <w:r>
        <w:rPr>
          <w:rFonts w:hint="eastAsia"/>
          <w:color w:val="auto"/>
          <w:highlight w:val="none"/>
        </w:rPr>
        <w:t>）</w:t>
      </w:r>
    </w:p>
    <w:p w14:paraId="793E90FA">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ascii="Times New Roman"/>
          <w:color w:val="auto"/>
          <w:highlight w:val="none"/>
        </w:rPr>
      </w:pPr>
      <w:r>
        <w:rPr>
          <w:rFonts w:ascii="Times New Roman"/>
          <w:color w:val="auto"/>
          <w:highlight w:val="none"/>
        </w:rPr>
        <w:t>式中</w:t>
      </w:r>
      <w:r>
        <w:rPr>
          <w:rFonts w:hint="eastAsia" w:ascii="Times New Roman"/>
          <w:color w:val="auto"/>
          <w:highlight w:val="none"/>
        </w:rPr>
        <w:t>：</w:t>
      </w:r>
    </w:p>
    <w:p w14:paraId="7973DFC5">
      <w:pPr>
        <w:pStyle w:val="25"/>
        <w:keepNext w:val="0"/>
        <w:keepLines w:val="0"/>
        <w:pageBreakBefore w:val="0"/>
        <w:widowControl/>
        <w:kinsoku/>
        <w:wordWrap/>
        <w:overflowPunct/>
        <w:topLinePunct w:val="0"/>
        <w:bidi w:val="0"/>
        <w:adjustRightInd w:val="0"/>
        <w:snapToGrid w:val="0"/>
        <w:spacing w:line="240" w:lineRule="auto"/>
        <w:textAlignment w:val="auto"/>
        <w:rPr>
          <w:rFonts w:ascii="Times New Roman"/>
          <w:color w:val="auto"/>
          <w:highlight w:val="none"/>
        </w:rPr>
      </w:pPr>
      <w:r>
        <w:rPr>
          <w:rFonts w:hint="eastAsia" w:ascii="Times New Roman"/>
          <w:i/>
          <w:iCs/>
          <w:color w:val="auto"/>
          <w:highlight w:val="none"/>
        </w:rPr>
        <w:t>Q</w:t>
      </w:r>
      <w:r>
        <w:rPr>
          <w:rFonts w:ascii="Times New Roman"/>
          <w:color w:val="auto"/>
          <w:highlight w:val="none"/>
        </w:rPr>
        <w:t>——设计排水流量，m</w:t>
      </w:r>
      <w:r>
        <w:rPr>
          <w:rFonts w:ascii="Times New Roman"/>
          <w:color w:val="auto"/>
          <w:szCs w:val="21"/>
          <w:highlight w:val="none"/>
          <w:vertAlign w:val="superscript"/>
        </w:rPr>
        <w:t>3</w:t>
      </w:r>
      <w:r>
        <w:rPr>
          <w:rFonts w:ascii="Times New Roman"/>
          <w:color w:val="auto"/>
          <w:highlight w:val="none"/>
        </w:rPr>
        <w:t>/d；</w:t>
      </w:r>
    </w:p>
    <w:p w14:paraId="4AE7226E">
      <w:pPr>
        <w:pStyle w:val="25"/>
        <w:keepNext w:val="0"/>
        <w:keepLines w:val="0"/>
        <w:pageBreakBefore w:val="0"/>
        <w:widowControl/>
        <w:kinsoku/>
        <w:wordWrap/>
        <w:overflowPunct/>
        <w:topLinePunct w:val="0"/>
        <w:bidi w:val="0"/>
        <w:adjustRightInd w:val="0"/>
        <w:snapToGrid w:val="0"/>
        <w:spacing w:line="240" w:lineRule="auto"/>
        <w:textAlignment w:val="auto"/>
        <w:rPr>
          <w:rFonts w:ascii="Times New Roman"/>
          <w:color w:val="auto"/>
          <w:highlight w:val="none"/>
        </w:rPr>
      </w:pPr>
      <w:r>
        <w:rPr>
          <w:rFonts w:ascii="Times New Roman"/>
          <w:i/>
          <w:iCs/>
          <w:color w:val="auto"/>
          <w:highlight w:val="none"/>
        </w:rPr>
        <w:t>C</w:t>
      </w:r>
      <w:r>
        <w:rPr>
          <w:rFonts w:ascii="Times New Roman"/>
          <w:color w:val="auto"/>
          <w:highlight w:val="none"/>
        </w:rPr>
        <w:t>——与面积有关的流量系数，通常只设一级或二级暗管时，可取C=1；</w:t>
      </w:r>
    </w:p>
    <w:p w14:paraId="27CDCF7C">
      <w:pPr>
        <w:pStyle w:val="25"/>
        <w:keepNext w:val="0"/>
        <w:keepLines w:val="0"/>
        <w:pageBreakBefore w:val="0"/>
        <w:widowControl/>
        <w:kinsoku/>
        <w:wordWrap/>
        <w:overflowPunct/>
        <w:topLinePunct w:val="0"/>
        <w:bidi w:val="0"/>
        <w:adjustRightInd w:val="0"/>
        <w:snapToGrid w:val="0"/>
        <w:spacing w:line="240" w:lineRule="auto"/>
        <w:textAlignment w:val="auto"/>
        <w:rPr>
          <w:rFonts w:ascii="Times New Roman"/>
          <w:color w:val="auto"/>
          <w:highlight w:val="none"/>
        </w:rPr>
      </w:pPr>
      <w:r>
        <w:rPr>
          <w:rFonts w:hint="eastAsia" w:ascii="Times New Roman"/>
          <w:i/>
          <w:iCs/>
          <w:color w:val="auto"/>
          <w:highlight w:val="none"/>
        </w:rPr>
        <w:t>q</w:t>
      </w:r>
      <w:r>
        <w:rPr>
          <w:rFonts w:ascii="Times New Roman"/>
          <w:color w:val="auto"/>
          <w:highlight w:val="none"/>
        </w:rPr>
        <w:t>——排水模数，m/d；</w:t>
      </w:r>
    </w:p>
    <w:p w14:paraId="7538FFF0">
      <w:pPr>
        <w:pStyle w:val="25"/>
        <w:keepNext w:val="0"/>
        <w:keepLines w:val="0"/>
        <w:pageBreakBefore w:val="0"/>
        <w:widowControl/>
        <w:kinsoku/>
        <w:wordWrap/>
        <w:overflowPunct/>
        <w:topLinePunct w:val="0"/>
        <w:bidi w:val="0"/>
        <w:adjustRightInd w:val="0"/>
        <w:snapToGrid w:val="0"/>
        <w:spacing w:line="240" w:lineRule="auto"/>
        <w:textAlignment w:val="auto"/>
        <w:rPr>
          <w:rFonts w:ascii="Times New Roman"/>
          <w:color w:val="auto"/>
          <w:highlight w:val="none"/>
        </w:rPr>
      </w:pPr>
      <w:r>
        <w:rPr>
          <w:rFonts w:ascii="Times New Roman"/>
          <w:i/>
          <w:iCs/>
          <w:color w:val="auto"/>
          <w:highlight w:val="none"/>
        </w:rPr>
        <w:t>A</w:t>
      </w:r>
      <w:r>
        <w:rPr>
          <w:rFonts w:ascii="Times New Roman"/>
          <w:color w:val="auto"/>
          <w:highlight w:val="none"/>
        </w:rPr>
        <w:t>——暗管的排水控制面积，m</w:t>
      </w:r>
      <w:r>
        <w:rPr>
          <w:rFonts w:ascii="Times New Roman"/>
          <w:color w:val="auto"/>
          <w:szCs w:val="21"/>
          <w:highlight w:val="none"/>
          <w:vertAlign w:val="superscript"/>
        </w:rPr>
        <w:t>2</w:t>
      </w:r>
      <w:r>
        <w:rPr>
          <w:rFonts w:ascii="Times New Roman"/>
          <w:color w:val="auto"/>
          <w:highlight w:val="none"/>
        </w:rPr>
        <w:t>。</w:t>
      </w:r>
    </w:p>
    <w:p w14:paraId="7DC5E695">
      <w:pPr>
        <w:pStyle w:val="85"/>
        <w:keepNext w:val="0"/>
        <w:keepLines w:val="0"/>
        <w:pageBreakBefore w:val="0"/>
        <w:widowControl/>
        <w:numPr>
          <w:ilvl w:val="0"/>
          <w:numId w:val="0"/>
        </w:numPr>
        <w:tabs>
          <w:tab w:val="clear" w:pos="845"/>
        </w:tabs>
        <w:kinsoku/>
        <w:wordWrap/>
        <w:overflowPunct/>
        <w:topLinePunct w:val="0"/>
        <w:bidi w:val="0"/>
        <w:adjustRightInd w:val="0"/>
        <w:snapToGrid w:val="0"/>
        <w:spacing w:line="240" w:lineRule="auto"/>
        <w:ind w:firstLine="420" w:firstLineChars="200"/>
        <w:textAlignment w:val="auto"/>
        <w:rPr>
          <w:color w:val="auto"/>
          <w:highlight w:val="none"/>
        </w:rPr>
      </w:pPr>
      <w:r>
        <w:rPr>
          <w:rFonts w:hint="eastAsia"/>
          <w:color w:val="auto"/>
          <w:highlight w:val="none"/>
        </w:rPr>
        <w:t>（2）</w:t>
      </w:r>
      <w:r>
        <w:rPr>
          <w:color w:val="auto"/>
          <w:highlight w:val="none"/>
        </w:rPr>
        <w:t>吸水管的内径可根据设计流量按</w:t>
      </w:r>
      <w:r>
        <w:rPr>
          <w:rFonts w:hint="eastAsia"/>
          <w:color w:val="auto"/>
          <w:highlight w:val="none"/>
        </w:rPr>
        <w:t>非均匀流公式</w:t>
      </w:r>
      <w:r>
        <w:rPr>
          <w:color w:val="auto"/>
          <w:highlight w:val="none"/>
        </w:rPr>
        <w:t>计算</w:t>
      </w:r>
      <w:r>
        <w:rPr>
          <w:rFonts w:hint="eastAsia"/>
          <w:color w:val="auto"/>
          <w:highlight w:val="none"/>
        </w:rPr>
        <w:t>：</w:t>
      </w:r>
    </w:p>
    <w:p w14:paraId="03A7D673">
      <w:pPr>
        <w:pStyle w:val="155"/>
        <w:rPr>
          <w:rFonts w:hint="eastAsia"/>
          <w:color w:val="auto"/>
          <w:highlight w:val="none"/>
        </w:rPr>
      </w:pPr>
      <w:r>
        <w:rPr>
          <w:color w:val="auto"/>
          <w:highlight w:val="none"/>
        </w:rPr>
        <w:tab/>
      </w:r>
      <w:r>
        <w:rPr>
          <w:rFonts w:hint="eastAsia"/>
          <w:color w:val="auto"/>
          <w:highlight w:val="none"/>
          <w:lang w:val="en-US" w:eastAsia="zh-CN"/>
        </w:rPr>
        <w:t xml:space="preserve">                                     </w:t>
      </w:r>
      <w:r>
        <w:rPr>
          <w:color w:val="auto"/>
          <w:position w:val="-30"/>
          <w:highlight w:val="none"/>
        </w:rPr>
        <w:object>
          <v:shape id="_x0000_i1034" o:spt="75" type="#_x0000_t75" style="height:42.95pt;width:75pt;" o:ole="t" filled="f" o:preferrelative="t" stroked="f" coordsize="21600,21600">
            <v:path/>
            <v:fill on="f" alignshape="1" focussize="0,0"/>
            <v:stroke on="f"/>
            <v:imagedata r:id="rId31" o:title=""/>
            <o:lock v:ext="edit" aspectratio="t"/>
            <w10:wrap type="none"/>
            <w10:anchorlock/>
          </v:shape>
          <o:OLEObject Type="Embed" ProgID="Equation.DSMT4" ShapeID="_x0000_i1034" DrawAspect="Content" ObjectID="_1468075734" r:id="rId30">
            <o:LockedField>false</o:LockedField>
          </o:OLEObject>
        </w:object>
      </w:r>
      <w:r>
        <w:rPr>
          <w:color w:val="auto"/>
          <w:highlight w:val="none"/>
        </w:rPr>
        <w:t xml:space="preserve">  </w:t>
      </w:r>
      <w:r>
        <w:rPr>
          <w:rFonts w:hint="eastAsia"/>
          <w:color w:val="auto"/>
          <w:highlight w:val="none"/>
          <w:lang w:val="en-US" w:eastAsia="zh-CN"/>
        </w:rPr>
        <w:t xml:space="preserve">                            </w:t>
      </w:r>
      <w:r>
        <w:rPr>
          <w:rFonts w:hint="eastAsia"/>
          <w:color w:val="auto"/>
          <w:highlight w:val="none"/>
        </w:rPr>
        <w:t>（</w:t>
      </w:r>
      <w:r>
        <w:rPr>
          <w:color w:val="auto"/>
          <w:highlight w:val="none"/>
        </w:rPr>
        <w:t>6.3-3</w:t>
      </w:r>
      <w:r>
        <w:rPr>
          <w:rFonts w:hint="eastAsia"/>
          <w:color w:val="auto"/>
          <w:highlight w:val="none"/>
        </w:rPr>
        <w:t>）</w:t>
      </w:r>
    </w:p>
    <w:p w14:paraId="0417CFA4">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hint="eastAsia" w:ascii="Times New Roman"/>
          <w:color w:val="auto"/>
          <w:highlight w:val="none"/>
        </w:rPr>
      </w:pPr>
      <w:r>
        <w:rPr>
          <w:rFonts w:ascii="Times New Roman"/>
          <w:color w:val="auto"/>
          <w:highlight w:val="none"/>
        </w:rPr>
        <w:t>式中</w:t>
      </w:r>
      <w:r>
        <w:rPr>
          <w:rFonts w:hint="eastAsia" w:ascii="Times New Roman"/>
          <w:color w:val="auto"/>
          <w:highlight w:val="none"/>
        </w:rPr>
        <w:t>：</w:t>
      </w:r>
    </w:p>
    <w:p w14:paraId="3734FCE5">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highlight w:val="none"/>
        </w:rPr>
      </w:pPr>
      <w:r>
        <w:rPr>
          <w:rFonts w:ascii="Times New Roman"/>
          <w:i/>
          <w:iCs/>
          <w:color w:val="auto"/>
          <w:highlight w:val="none"/>
        </w:rPr>
        <w:t>d</w:t>
      </w:r>
      <w:r>
        <w:rPr>
          <w:rFonts w:ascii="Times New Roman"/>
          <w:color w:val="auto"/>
          <w:highlight w:val="none"/>
        </w:rPr>
        <w:t>——排水暗管内经，m；</w:t>
      </w:r>
    </w:p>
    <w:p w14:paraId="4F1EB77B">
      <w:pPr>
        <w:pStyle w:val="25"/>
        <w:keepNext w:val="0"/>
        <w:keepLines w:val="0"/>
        <w:pageBreakBefore w:val="0"/>
        <w:widowControl/>
        <w:tabs>
          <w:tab w:val="left" w:pos="1088"/>
          <w:tab w:val="clear" w:pos="4201"/>
        </w:tabs>
        <w:kinsoku/>
        <w:wordWrap/>
        <w:overflowPunct/>
        <w:topLinePunct w:val="0"/>
        <w:autoSpaceDE w:val="0"/>
        <w:autoSpaceDN w:val="0"/>
        <w:bidi w:val="0"/>
        <w:adjustRightInd w:val="0"/>
        <w:snapToGrid w:val="0"/>
        <w:spacing w:line="240" w:lineRule="auto"/>
        <w:textAlignment w:val="auto"/>
        <w:rPr>
          <w:rFonts w:ascii="Times New Roman"/>
          <w:color w:val="auto"/>
          <w:highlight w:val="none"/>
        </w:rPr>
      </w:pPr>
      <w:r>
        <w:rPr>
          <w:rFonts w:ascii="Times New Roman"/>
          <w:i/>
          <w:iCs/>
          <w:color w:val="auto"/>
          <w:highlight w:val="none"/>
        </w:rPr>
        <w:t>i</w:t>
      </w:r>
      <w:r>
        <w:rPr>
          <w:rFonts w:ascii="Times New Roman"/>
          <w:color w:val="auto"/>
          <w:highlight w:val="none"/>
        </w:rPr>
        <w:t>——水力比降，可采用与排水暗管相同的比降；</w:t>
      </w:r>
    </w:p>
    <w:p w14:paraId="533EBF41">
      <w:pPr>
        <w:pStyle w:val="25"/>
        <w:keepNext w:val="0"/>
        <w:keepLines w:val="0"/>
        <w:pageBreakBefore w:val="0"/>
        <w:widowControl/>
        <w:tabs>
          <w:tab w:val="left" w:pos="1100"/>
          <w:tab w:val="clear" w:pos="4201"/>
        </w:tabs>
        <w:kinsoku/>
        <w:wordWrap/>
        <w:overflowPunct/>
        <w:topLinePunct w:val="0"/>
        <w:autoSpaceDE w:val="0"/>
        <w:autoSpaceDN w:val="0"/>
        <w:bidi w:val="0"/>
        <w:adjustRightInd w:val="0"/>
        <w:snapToGrid w:val="0"/>
        <w:spacing w:line="240" w:lineRule="auto"/>
        <w:textAlignment w:val="auto"/>
        <w:rPr>
          <w:rFonts w:ascii="Times New Roman"/>
          <w:color w:val="auto"/>
          <w:highlight w:val="none"/>
        </w:rPr>
      </w:pPr>
      <w:r>
        <w:rPr>
          <w:rFonts w:ascii="Times New Roman"/>
          <w:i/>
          <w:iCs/>
          <w:color w:val="auto"/>
          <w:highlight w:val="none"/>
        </w:rPr>
        <w:t>α</w:t>
      </w:r>
      <w:r>
        <w:rPr>
          <w:rFonts w:ascii="Times New Roman"/>
          <w:color w:val="auto"/>
          <w:highlight w:val="none"/>
        </w:rPr>
        <w:t>——与管内充盈度</w:t>
      </w:r>
      <w:r>
        <w:rPr>
          <w:rFonts w:ascii="Times New Roman"/>
          <w:i/>
          <w:color w:val="auto"/>
          <w:highlight w:val="none"/>
        </w:rPr>
        <w:t>a</w:t>
      </w:r>
      <w:r>
        <w:rPr>
          <w:rFonts w:ascii="Times New Roman"/>
          <w:color w:val="auto"/>
          <w:highlight w:val="none"/>
        </w:rPr>
        <w:t>有关的系数，按</w:t>
      </w:r>
      <w:r>
        <w:rPr>
          <w:rFonts w:ascii="Times New Roman"/>
          <w:color w:val="auto"/>
          <w:szCs w:val="21"/>
          <w:highlight w:val="none"/>
        </w:rPr>
        <w:t>附录H选</w:t>
      </w:r>
      <w:r>
        <w:rPr>
          <w:rFonts w:ascii="Times New Roman"/>
          <w:color w:val="auto"/>
          <w:highlight w:val="none"/>
        </w:rPr>
        <w:t>用；</w:t>
      </w:r>
    </w:p>
    <w:p w14:paraId="1671B498">
      <w:pPr>
        <w:pStyle w:val="25"/>
        <w:keepNext w:val="0"/>
        <w:keepLines w:val="0"/>
        <w:pageBreakBefore w:val="0"/>
        <w:widowControl/>
        <w:tabs>
          <w:tab w:val="left" w:pos="1163"/>
          <w:tab w:val="clear" w:pos="4201"/>
        </w:tabs>
        <w:kinsoku/>
        <w:wordWrap/>
        <w:overflowPunct/>
        <w:topLinePunct w:val="0"/>
        <w:autoSpaceDE w:val="0"/>
        <w:autoSpaceDN w:val="0"/>
        <w:bidi w:val="0"/>
        <w:adjustRightInd w:val="0"/>
        <w:snapToGrid w:val="0"/>
        <w:spacing w:line="240" w:lineRule="auto"/>
        <w:textAlignment w:val="auto"/>
        <w:rPr>
          <w:rFonts w:hint="eastAsia" w:ascii="Times New Roman"/>
          <w:color w:val="auto"/>
          <w:highlight w:val="none"/>
        </w:rPr>
      </w:pPr>
      <w:r>
        <w:rPr>
          <w:rFonts w:ascii="Times New Roman"/>
          <w:i/>
          <w:iCs/>
          <w:color w:val="auto"/>
          <w:highlight w:val="none"/>
        </w:rPr>
        <w:t>n</w:t>
      </w:r>
      <w:r>
        <w:rPr>
          <w:rFonts w:ascii="Times New Roman"/>
          <w:color w:val="auto"/>
          <w:highlight w:val="none"/>
        </w:rPr>
        <w:t>——管内糙率，波纹塑料管取0.016，光壁塑料管取0.011，混凝土管取0.013</w:t>
      </w:r>
      <w:r>
        <w:rPr>
          <w:rFonts w:hint="eastAsia" w:ascii="Times New Roman"/>
          <w:color w:val="auto"/>
          <w:highlight w:val="none"/>
        </w:rPr>
        <w:t>～</w:t>
      </w:r>
      <w:r>
        <w:rPr>
          <w:rFonts w:ascii="Times New Roman"/>
          <w:color w:val="auto"/>
          <w:highlight w:val="none"/>
        </w:rPr>
        <w:t>0.015。</w:t>
      </w:r>
    </w:p>
    <w:p w14:paraId="3B15FBDA">
      <w:pPr>
        <w:pStyle w:val="85"/>
        <w:keepNext w:val="0"/>
        <w:keepLines w:val="0"/>
        <w:pageBreakBefore w:val="0"/>
        <w:widowControl/>
        <w:numPr>
          <w:ilvl w:val="0"/>
          <w:numId w:val="0"/>
        </w:numPr>
        <w:tabs>
          <w:tab w:val="clear" w:pos="845"/>
        </w:tabs>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（3）</w:t>
      </w:r>
      <w:r>
        <w:rPr>
          <w:color w:val="auto"/>
          <w:highlight w:val="none"/>
        </w:rPr>
        <w:t>暗管管径的大小应保证在无压流的情况下排出设计的排水流量。吸水管内径不得小于60mm，一般</w:t>
      </w:r>
      <w:r>
        <w:rPr>
          <w:rFonts w:hint="eastAsia"/>
          <w:color w:val="auto"/>
          <w:highlight w:val="none"/>
        </w:rPr>
        <w:t>控制</w:t>
      </w:r>
      <w:r>
        <w:rPr>
          <w:color w:val="auto"/>
          <w:highlight w:val="none"/>
        </w:rPr>
        <w:t>在</w:t>
      </w:r>
      <w:r>
        <w:rPr>
          <w:rFonts w:ascii="Times New Roman"/>
          <w:color w:val="auto"/>
          <w:highlight w:val="none"/>
        </w:rPr>
        <w:t>60</w:t>
      </w:r>
      <w:r>
        <w:rPr>
          <w:rFonts w:hint="eastAsia" w:ascii="Times New Roman"/>
          <w:color w:val="auto"/>
          <w:highlight w:val="none"/>
        </w:rPr>
        <w:t>～</w:t>
      </w:r>
      <w:r>
        <w:rPr>
          <w:rFonts w:ascii="Times New Roman"/>
          <w:color w:val="auto"/>
          <w:highlight w:val="none"/>
        </w:rPr>
        <w:t>110</w:t>
      </w:r>
      <w:r>
        <w:rPr>
          <w:color w:val="auto"/>
          <w:highlight w:val="none"/>
        </w:rPr>
        <w:t>mm之间；</w:t>
      </w:r>
    </w:p>
    <w:p w14:paraId="125A72DD">
      <w:pPr>
        <w:pStyle w:val="85"/>
        <w:keepNext w:val="0"/>
        <w:keepLines w:val="0"/>
        <w:pageBreakBefore w:val="0"/>
        <w:widowControl/>
        <w:numPr>
          <w:ilvl w:val="0"/>
          <w:numId w:val="0"/>
        </w:numPr>
        <w:tabs>
          <w:tab w:val="clear" w:pos="845"/>
        </w:tabs>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color w:val="auto"/>
          <w:highlight w:val="none"/>
        </w:rPr>
        <w:t>（</w:t>
      </w:r>
      <w:r>
        <w:rPr>
          <w:rFonts w:hint="eastAsia"/>
          <w:color w:val="auto"/>
          <w:highlight w:val="none"/>
        </w:rPr>
        <w:t>4）</w:t>
      </w:r>
      <w:r>
        <w:rPr>
          <w:color w:val="auto"/>
          <w:highlight w:val="none"/>
        </w:rPr>
        <w:t>实际选用的吸水管内径应为计算内经的1.2倍，一般每条吸水管宜选用同一管径，但也可根据实际情况，采用变径措施，宜在吸水管连接井（检查井）中实施变径</w:t>
      </w:r>
      <w:r>
        <w:rPr>
          <w:rFonts w:hint="eastAsia"/>
          <w:color w:val="auto"/>
          <w:highlight w:val="none"/>
        </w:rPr>
        <w:t>。</w:t>
      </w:r>
    </w:p>
    <w:p w14:paraId="696CE987">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Times New Roman" w:eastAsia="黑体" w:cs="Times New Roman"/>
          <w:color w:val="auto"/>
          <w:sz w:val="21"/>
          <w:szCs w:val="21"/>
          <w:highlight w:val="none"/>
          <w:lang w:val="en-US" w:eastAsia="zh-CN" w:bidi="ar-SA"/>
        </w:rPr>
        <w:t>6.3.4 吸水</w:t>
      </w:r>
      <w:r>
        <w:rPr>
          <w:rFonts w:hint="eastAsia" w:ascii="黑体" w:hAnsi="黑体" w:eastAsia="黑体" w:cs="黑体"/>
          <w:color w:val="auto"/>
          <w:highlight w:val="none"/>
        </w:rPr>
        <w:t>管长度</w:t>
      </w:r>
    </w:p>
    <w:p w14:paraId="3A3F592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吸水管长度根据农业规划实际地块尺寸确定，一般单条吸水管的总长度不宜超过600m</w:t>
      </w:r>
      <w:r>
        <w:rPr>
          <w:rFonts w:hint="eastAsia"/>
          <w:color w:val="auto"/>
          <w:highlight w:val="none"/>
        </w:rPr>
        <w:t>，</w:t>
      </w:r>
      <w:r>
        <w:rPr>
          <w:color w:val="auto"/>
          <w:highlight w:val="none"/>
        </w:rPr>
        <w:t>每隔300m宜设置连接井，便于维修管理。</w:t>
      </w:r>
    </w:p>
    <w:p w14:paraId="2C6446BA">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6.3.5 吸水管坡降</w:t>
      </w:r>
    </w:p>
    <w:p w14:paraId="1347956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吸水管</w:t>
      </w:r>
      <w:r>
        <w:rPr>
          <w:color w:val="auto"/>
          <w:highlight w:val="none"/>
        </w:rPr>
        <w:t>纵向比降应按下列要求确定</w:t>
      </w:r>
      <w:r>
        <w:rPr>
          <w:rFonts w:hint="eastAsia"/>
          <w:color w:val="auto"/>
          <w:highlight w:val="none"/>
        </w:rPr>
        <w:t>：（1）</w:t>
      </w:r>
      <w:r>
        <w:rPr>
          <w:color w:val="auto"/>
          <w:highlight w:val="none"/>
        </w:rPr>
        <w:t>排水暗管比降应满足管内允许不淤流速的要求，管内径小于或等于100mm时，可采用1/400</w:t>
      </w:r>
      <w:r>
        <w:rPr>
          <w:rFonts w:hint="eastAsia" w:ascii="Times New Roman"/>
          <w:color w:val="auto"/>
          <w:highlight w:val="none"/>
        </w:rPr>
        <w:t>～</w:t>
      </w:r>
      <w:r>
        <w:rPr>
          <w:color w:val="auto"/>
          <w:highlight w:val="none"/>
        </w:rPr>
        <w:t>1/1000的比降；</w:t>
      </w:r>
      <w:r>
        <w:rPr>
          <w:rFonts w:hint="eastAsia"/>
          <w:color w:val="auto"/>
          <w:highlight w:val="none"/>
        </w:rPr>
        <w:t>（2）</w:t>
      </w:r>
      <w:r>
        <w:rPr>
          <w:color w:val="auto"/>
          <w:highlight w:val="none"/>
        </w:rPr>
        <w:t>管内径大于100mm时，可采用1/600</w:t>
      </w:r>
      <w:r>
        <w:rPr>
          <w:rFonts w:hint="eastAsia" w:ascii="Times New Roman"/>
          <w:color w:val="auto"/>
          <w:highlight w:val="none"/>
        </w:rPr>
        <w:t>～</w:t>
      </w:r>
      <w:r>
        <w:rPr>
          <w:color w:val="auto"/>
          <w:highlight w:val="none"/>
        </w:rPr>
        <w:t>1/1500的比降</w:t>
      </w:r>
      <w:r>
        <w:rPr>
          <w:rFonts w:hint="eastAsia"/>
          <w:color w:val="auto"/>
          <w:highlight w:val="none"/>
        </w:rPr>
        <w:t>；（3）</w:t>
      </w:r>
      <w:r>
        <w:rPr>
          <w:color w:val="auto"/>
          <w:highlight w:val="none"/>
        </w:rPr>
        <w:t>在地形平坦地区，适当控制吸水管的长度和纵向比降，也可以在检查井或连接井中对相应管段的比降进行微调，使单条吸水管的首、末端埋深差值不宜大于0.4m</w:t>
      </w:r>
      <w:r>
        <w:rPr>
          <w:rFonts w:hint="eastAsia"/>
          <w:color w:val="auto"/>
          <w:highlight w:val="none"/>
        </w:rPr>
        <w:t>。</w:t>
      </w:r>
    </w:p>
    <w:p w14:paraId="1754C51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管内平均流速可按下式计算</w:t>
      </w:r>
      <w:r>
        <w:rPr>
          <w:rFonts w:hint="eastAsia"/>
          <w:color w:val="auto"/>
          <w:highlight w:val="none"/>
        </w:rPr>
        <w:t>：</w:t>
      </w:r>
    </w:p>
    <w:p w14:paraId="4DDC3DC7">
      <w:pPr>
        <w:pStyle w:val="155"/>
        <w:jc w:val="center"/>
        <w:rPr>
          <w:rFonts w:hint="eastAsia"/>
          <w:color w:val="auto"/>
          <w:highlight w:val="none"/>
        </w:rPr>
      </w:pPr>
      <w:r>
        <w:rPr>
          <w:rFonts w:hint="eastAsia"/>
          <w:color w:val="auto"/>
          <w:highlight w:val="none"/>
          <w:lang w:val="en-US" w:eastAsia="zh-CN"/>
        </w:rPr>
        <w:t xml:space="preserve">                                </w:t>
      </w:r>
      <w:r>
        <w:rPr>
          <w:color w:val="auto"/>
          <w:position w:val="-28"/>
          <w:highlight w:val="none"/>
        </w:rPr>
        <w:object>
          <v:shape id="_x0000_i1035" o:spt="75" type="#_x0000_t75" style="height:41pt;width:71pt;" o:ole="t" filled="f" o:preferrelative="t" stroked="f" coordsize="21600,21600">
            <v:path/>
            <v:fill on="f" alignshape="1" focussize="0,0"/>
            <v:stroke on="f"/>
            <v:imagedata r:id="rId33" o:title=""/>
            <o:lock v:ext="edit" aspectratio="t"/>
            <w10:wrap type="none"/>
            <w10:anchorlock/>
          </v:shape>
          <o:OLEObject Type="Embed" ProgID="Equation.DSMT4" ShapeID="_x0000_i1035" DrawAspect="Content" ObjectID="_1468075735" r:id="rId32">
            <o:LockedField>false</o:LockedField>
          </o:OLEObject>
        </w:object>
      </w:r>
      <w:r>
        <w:rPr>
          <w:rFonts w:hint="eastAsia"/>
          <w:color w:val="auto"/>
          <w:highlight w:val="none"/>
          <w:lang w:val="en-US" w:eastAsia="zh-CN"/>
        </w:rPr>
        <w:t xml:space="preserve">                                  </w:t>
      </w:r>
      <w:r>
        <w:rPr>
          <w:rFonts w:hint="eastAsia"/>
          <w:color w:val="auto"/>
          <w:highlight w:val="none"/>
        </w:rPr>
        <w:t>（</w:t>
      </w:r>
      <w:r>
        <w:rPr>
          <w:color w:val="auto"/>
          <w:highlight w:val="none"/>
        </w:rPr>
        <w:t>6.3-4</w:t>
      </w:r>
      <w:r>
        <w:rPr>
          <w:rFonts w:hint="eastAsia"/>
          <w:color w:val="auto"/>
          <w:highlight w:val="none"/>
        </w:rPr>
        <w:t>）</w:t>
      </w:r>
    </w:p>
    <w:p w14:paraId="7EC75893">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hint="eastAsia" w:ascii="Times New Roman"/>
          <w:color w:val="auto"/>
          <w:highlight w:val="none"/>
        </w:rPr>
      </w:pPr>
      <w:r>
        <w:rPr>
          <w:rFonts w:ascii="Times New Roman"/>
          <w:color w:val="auto"/>
          <w:highlight w:val="none"/>
        </w:rPr>
        <w:t>式中</w:t>
      </w:r>
      <w:r>
        <w:rPr>
          <w:rFonts w:hint="eastAsia" w:ascii="Times New Roman"/>
          <w:color w:val="auto"/>
          <w:highlight w:val="none"/>
        </w:rPr>
        <w:t>：</w:t>
      </w:r>
    </w:p>
    <w:p w14:paraId="35467A50">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ascii="Times New Roman"/>
          <w:color w:val="auto"/>
          <w:highlight w:val="none"/>
        </w:rPr>
      </w:pPr>
      <w:r>
        <w:rPr>
          <w:rFonts w:ascii="Times New Roman"/>
          <w:i/>
          <w:iCs/>
          <w:color w:val="auto"/>
          <w:highlight w:val="none"/>
        </w:rPr>
        <w:t>v</w:t>
      </w:r>
      <w:r>
        <w:rPr>
          <w:rFonts w:ascii="Times New Roman"/>
          <w:color w:val="auto"/>
          <w:highlight w:val="none"/>
        </w:rPr>
        <w:t>——管内平均流速，m/s；</w:t>
      </w:r>
    </w:p>
    <w:p w14:paraId="502C5648">
      <w:pPr>
        <w:pStyle w:val="25"/>
        <w:keepNext w:val="0"/>
        <w:keepLines w:val="0"/>
        <w:pageBreakBefore w:val="0"/>
        <w:widowControl/>
        <w:tabs>
          <w:tab w:val="left" w:pos="1313"/>
          <w:tab w:val="clear" w:pos="4201"/>
        </w:tabs>
        <w:kinsoku/>
        <w:wordWrap/>
        <w:overflowPunct/>
        <w:topLinePunct w:val="0"/>
        <w:autoSpaceDE w:val="0"/>
        <w:autoSpaceDN w:val="0"/>
        <w:bidi w:val="0"/>
        <w:adjustRightInd w:val="0"/>
        <w:snapToGrid w:val="0"/>
        <w:spacing w:line="240" w:lineRule="auto"/>
        <w:textAlignment w:val="auto"/>
        <w:rPr>
          <w:rFonts w:hint="eastAsia" w:ascii="Times New Roman"/>
          <w:color w:val="auto"/>
          <w:highlight w:val="none"/>
        </w:rPr>
      </w:pPr>
      <w:r>
        <w:rPr>
          <w:rFonts w:ascii="Times New Roman"/>
          <w:i/>
          <w:iCs/>
          <w:color w:val="auto"/>
          <w:highlight w:val="none"/>
        </w:rPr>
        <w:t>β</w:t>
      </w:r>
      <w:r>
        <w:rPr>
          <w:rFonts w:ascii="Times New Roman"/>
          <w:color w:val="auto"/>
          <w:highlight w:val="none"/>
        </w:rPr>
        <w:t>——与管内充盈度</w:t>
      </w:r>
      <w:r>
        <w:rPr>
          <w:rFonts w:ascii="Times New Roman"/>
          <w:i/>
          <w:color w:val="auto"/>
          <w:highlight w:val="none"/>
        </w:rPr>
        <w:t>a</w:t>
      </w:r>
      <w:r>
        <w:rPr>
          <w:rFonts w:ascii="Times New Roman"/>
          <w:color w:val="auto"/>
          <w:highlight w:val="none"/>
        </w:rPr>
        <w:t>有关的系数，按附录H选用。</w:t>
      </w:r>
    </w:p>
    <w:p w14:paraId="1D40953C">
      <w:pPr>
        <w:pStyle w:val="71"/>
        <w:keepNext w:val="0"/>
        <w:keepLines w:val="0"/>
        <w:pageBreakBefore w:val="0"/>
        <w:widowControl/>
        <w:kinsoku/>
        <w:wordWrap/>
        <w:overflowPunct/>
        <w:topLinePunct w:val="0"/>
        <w:autoSpaceDE/>
        <w:autoSpaceDN/>
        <w:bidi w:val="0"/>
        <w:adjustRightInd/>
        <w:snapToGrid/>
        <w:textAlignment w:val="auto"/>
        <w:rPr>
          <w:rFonts w:hint="eastAsia"/>
          <w:color w:val="auto"/>
          <w:highlight w:val="none"/>
          <w:lang w:val="en-US" w:eastAsia="zh-CN"/>
        </w:rPr>
      </w:pPr>
      <w:bookmarkStart w:id="275" w:name="_Toc26626"/>
      <w:bookmarkStart w:id="276" w:name="_Toc18662"/>
      <w:bookmarkStart w:id="277" w:name="_Toc522140501"/>
      <w:bookmarkStart w:id="278" w:name="_Toc299889771"/>
      <w:bookmarkStart w:id="279" w:name="_Toc16789"/>
      <w:bookmarkStart w:id="280" w:name="_Toc520709304"/>
      <w:bookmarkStart w:id="281" w:name="_Toc520823473"/>
      <w:bookmarkStart w:id="282" w:name="_Toc24249"/>
      <w:bookmarkStart w:id="283" w:name="_Toc3716"/>
      <w:bookmarkStart w:id="284" w:name="_Toc25779"/>
      <w:r>
        <w:rPr>
          <w:rFonts w:hint="eastAsia"/>
          <w:color w:val="auto"/>
          <w:highlight w:val="none"/>
          <w:lang w:val="en-US" w:eastAsia="zh-CN"/>
        </w:rPr>
        <w:t>吸水管外包滤料</w:t>
      </w:r>
    </w:p>
    <w:p w14:paraId="2BA8BB8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6.</w:t>
      </w:r>
      <w:r>
        <w:rPr>
          <w:rFonts w:hint="eastAsia" w:ascii="黑体" w:hAnsi="黑体" w:eastAsia="黑体" w:cs="黑体"/>
          <w:color w:val="auto"/>
          <w:highlight w:val="none"/>
          <w:lang w:val="en-US" w:eastAsia="zh-CN"/>
        </w:rPr>
        <w:t>4</w:t>
      </w:r>
      <w:r>
        <w:rPr>
          <w:rFonts w:hint="eastAsia" w:ascii="黑体" w:hAnsi="黑体" w:eastAsia="黑体" w:cs="黑体"/>
          <w:color w:val="auto"/>
          <w:highlight w:val="none"/>
        </w:rPr>
        <w:t>.1 设计要求</w:t>
      </w:r>
    </w:p>
    <w:p w14:paraId="7EDAFD8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外包滤料</w:t>
      </w:r>
      <w:r>
        <w:rPr>
          <w:color w:val="auto"/>
          <w:highlight w:val="none"/>
        </w:rPr>
        <w:t>应满足</w:t>
      </w:r>
      <w:r>
        <w:rPr>
          <w:rFonts w:hint="eastAsia"/>
          <w:color w:val="auto"/>
          <w:highlight w:val="none"/>
        </w:rPr>
        <w:t>：</w:t>
      </w:r>
      <w:r>
        <w:rPr>
          <w:color w:val="auto"/>
          <w:highlight w:val="none"/>
        </w:rPr>
        <w:t>（</w:t>
      </w:r>
      <w:r>
        <w:rPr>
          <w:rFonts w:hint="eastAsia"/>
          <w:color w:val="auto"/>
          <w:highlight w:val="none"/>
        </w:rPr>
        <w:t>1）</w:t>
      </w:r>
      <w:r>
        <w:rPr>
          <w:color w:val="auto"/>
          <w:highlight w:val="none"/>
        </w:rPr>
        <w:t>按SL/T4的相关规定，选用经济适用的材料作为吸水管外包滤料</w:t>
      </w:r>
      <w:r>
        <w:rPr>
          <w:rFonts w:hint="eastAsia"/>
          <w:color w:val="auto"/>
          <w:highlight w:val="none"/>
          <w:lang w:eastAsia="zh-CN"/>
        </w:rPr>
        <w:t>；（</w:t>
      </w:r>
      <w:r>
        <w:rPr>
          <w:rFonts w:hint="eastAsia"/>
          <w:color w:val="auto"/>
          <w:highlight w:val="none"/>
          <w:lang w:val="en-US" w:eastAsia="zh-CN"/>
        </w:rPr>
        <w:t>2）</w:t>
      </w:r>
      <w:r>
        <w:rPr>
          <w:color w:val="auto"/>
          <w:highlight w:val="none"/>
        </w:rPr>
        <w:t>耐酸碱、不易腐烂、对作物无害且不污染环境</w:t>
      </w:r>
      <w:r>
        <w:rPr>
          <w:rFonts w:hint="eastAsia"/>
          <w:color w:val="auto"/>
          <w:highlight w:val="none"/>
        </w:rPr>
        <w:t>；（</w:t>
      </w:r>
      <w:r>
        <w:rPr>
          <w:rFonts w:hint="eastAsia"/>
          <w:color w:val="auto"/>
          <w:highlight w:val="none"/>
          <w:lang w:val="en-US" w:eastAsia="zh-CN"/>
        </w:rPr>
        <w:t>3</w:t>
      </w:r>
      <w:r>
        <w:rPr>
          <w:rFonts w:hint="eastAsia"/>
          <w:color w:val="auto"/>
          <w:highlight w:val="none"/>
        </w:rPr>
        <w:t>）</w:t>
      </w:r>
      <w:r>
        <w:rPr>
          <w:color w:val="auto"/>
          <w:highlight w:val="none"/>
        </w:rPr>
        <w:t>外包滤料的渗透系数应比周围土壤的渗透系数大10倍以上</w:t>
      </w:r>
      <w:r>
        <w:rPr>
          <w:rFonts w:hint="eastAsia"/>
          <w:color w:val="auto"/>
          <w:highlight w:val="none"/>
        </w:rPr>
        <w:t>；（</w:t>
      </w:r>
      <w:r>
        <w:rPr>
          <w:rFonts w:hint="eastAsia"/>
          <w:color w:val="auto"/>
          <w:highlight w:val="none"/>
          <w:lang w:val="en-US" w:eastAsia="zh-CN"/>
        </w:rPr>
        <w:t>4</w:t>
      </w:r>
      <w:r>
        <w:rPr>
          <w:rFonts w:hint="eastAsia"/>
          <w:color w:val="auto"/>
          <w:highlight w:val="none"/>
        </w:rPr>
        <w:t>）</w:t>
      </w:r>
      <w:r>
        <w:rPr>
          <w:color w:val="auto"/>
          <w:highlight w:val="none"/>
        </w:rPr>
        <w:t>通过判断土壤的</w:t>
      </w:r>
      <w:r>
        <w:rPr>
          <w:rFonts w:hint="eastAsia"/>
          <w:color w:val="auto"/>
          <w:highlight w:val="none"/>
        </w:rPr>
        <w:t>淤堵状况</w:t>
      </w:r>
      <w:r>
        <w:rPr>
          <w:color w:val="auto"/>
          <w:highlight w:val="none"/>
        </w:rPr>
        <w:t>，适当调整吸水管外包滤料的设计方案</w:t>
      </w:r>
      <w:r>
        <w:rPr>
          <w:rFonts w:hint="eastAsia"/>
          <w:color w:val="auto"/>
          <w:highlight w:val="none"/>
        </w:rPr>
        <w:t>，</w:t>
      </w:r>
      <w:r>
        <w:rPr>
          <w:color w:val="auto"/>
          <w:highlight w:val="none"/>
        </w:rPr>
        <w:t>铺设厚度应根据</w:t>
      </w:r>
      <w:r>
        <w:rPr>
          <w:rFonts w:hint="eastAsia"/>
          <w:color w:val="auto"/>
          <w:highlight w:val="none"/>
        </w:rPr>
        <w:t>灌区</w:t>
      </w:r>
      <w:r>
        <w:rPr>
          <w:color w:val="auto"/>
          <w:highlight w:val="none"/>
        </w:rPr>
        <w:t>实践经验或通过试验确定</w:t>
      </w:r>
      <w:r>
        <w:rPr>
          <w:rFonts w:hint="eastAsia"/>
          <w:color w:val="auto"/>
          <w:highlight w:val="none"/>
        </w:rPr>
        <w:t>，并</w:t>
      </w:r>
      <w:r>
        <w:rPr>
          <w:color w:val="auto"/>
          <w:highlight w:val="none"/>
        </w:rPr>
        <w:t>沿管长均匀铺设</w:t>
      </w:r>
      <w:r>
        <w:rPr>
          <w:rFonts w:hint="eastAsia"/>
          <w:color w:val="auto"/>
          <w:highlight w:val="none"/>
        </w:rPr>
        <w:t>。</w:t>
      </w:r>
    </w:p>
    <w:p w14:paraId="59406B37">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6.</w:t>
      </w:r>
      <w:r>
        <w:rPr>
          <w:rFonts w:hint="eastAsia" w:ascii="黑体" w:hAnsi="黑体" w:eastAsia="黑体" w:cs="黑体"/>
          <w:color w:val="auto"/>
          <w:highlight w:val="none"/>
          <w:lang w:val="en-US" w:eastAsia="zh-CN"/>
        </w:rPr>
        <w:t>4</w:t>
      </w:r>
      <w:r>
        <w:rPr>
          <w:rFonts w:hint="eastAsia" w:ascii="黑体" w:hAnsi="黑体" w:eastAsia="黑体" w:cs="黑体"/>
          <w:color w:val="auto"/>
          <w:highlight w:val="none"/>
        </w:rPr>
        <w:t>.2 结构形式</w:t>
      </w:r>
    </w:p>
    <w:p w14:paraId="5EAB1356">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lang w:eastAsia="zh-CN"/>
        </w:rPr>
      </w:pPr>
      <w:r>
        <w:rPr>
          <w:rFonts w:hint="eastAsia"/>
          <w:color w:val="auto"/>
          <w:highlight w:val="none"/>
        </w:rPr>
        <w:t>若土壤无淤堵，</w:t>
      </w:r>
      <w:r>
        <w:rPr>
          <w:color w:val="auto"/>
          <w:highlight w:val="none"/>
        </w:rPr>
        <w:t>可采用吸水管</w:t>
      </w:r>
      <w:r>
        <w:rPr>
          <w:rFonts w:hint="eastAsia"/>
          <w:color w:val="auto"/>
          <w:highlight w:val="none"/>
        </w:rPr>
        <w:t>外</w:t>
      </w:r>
      <w:r>
        <w:rPr>
          <w:color w:val="auto"/>
          <w:highlight w:val="none"/>
        </w:rPr>
        <w:t>壁包裹</w:t>
      </w:r>
      <w:r>
        <w:rPr>
          <w:rFonts w:hint="eastAsia"/>
          <w:color w:val="auto"/>
          <w:highlight w:val="none"/>
        </w:rPr>
        <w:t>6</w:t>
      </w:r>
      <w:r>
        <w:rPr>
          <w:color w:val="auto"/>
          <w:highlight w:val="none"/>
        </w:rPr>
        <w:t>8g</w:t>
      </w:r>
      <w:r>
        <w:rPr>
          <w:rFonts w:hint="eastAsia"/>
          <w:color w:val="auto"/>
          <w:highlight w:val="none"/>
        </w:rPr>
        <w:t>/m</w:t>
      </w:r>
      <w:r>
        <w:rPr>
          <w:rFonts w:hint="eastAsia"/>
          <w:color w:val="auto"/>
          <w:highlight w:val="none"/>
          <w:vertAlign w:val="superscript"/>
        </w:rPr>
        <w:t>2</w:t>
      </w:r>
      <w:r>
        <w:rPr>
          <w:rFonts w:hint="eastAsia"/>
          <w:color w:val="auto"/>
          <w:highlight w:val="none"/>
        </w:rPr>
        <w:t>及以上规格的透水无纺</w:t>
      </w:r>
      <w:r>
        <w:rPr>
          <w:color w:val="auto"/>
          <w:highlight w:val="none"/>
        </w:rPr>
        <w:t>土工布</w:t>
      </w:r>
      <w:r>
        <w:rPr>
          <w:rFonts w:hint="eastAsia"/>
          <w:color w:val="auto"/>
          <w:highlight w:val="none"/>
        </w:rPr>
        <w:t>的反滤形式</w:t>
      </w:r>
      <w:r>
        <w:rPr>
          <w:rFonts w:hint="eastAsia"/>
          <w:color w:val="auto"/>
          <w:highlight w:val="none"/>
          <w:lang w:eastAsia="zh-CN"/>
        </w:rPr>
        <w:t>。</w:t>
      </w:r>
    </w:p>
    <w:p w14:paraId="1294B76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土壤存在淤堵现象应采用砂砾外包滤料，若</w:t>
      </w:r>
      <w:r>
        <w:rPr>
          <w:color w:val="auto"/>
          <w:highlight w:val="none"/>
        </w:rPr>
        <w:t>淤</w:t>
      </w:r>
      <w:r>
        <w:rPr>
          <w:rFonts w:hint="eastAsia"/>
          <w:color w:val="auto"/>
          <w:highlight w:val="none"/>
        </w:rPr>
        <w:t>堵严重，管周应铺设10</w:t>
      </w:r>
      <w:r>
        <w:rPr>
          <w:color w:val="auto"/>
          <w:highlight w:val="none"/>
        </w:rPr>
        <w:t>cm</w:t>
      </w:r>
      <w:r>
        <w:rPr>
          <w:rFonts w:hint="eastAsia"/>
          <w:color w:val="auto"/>
          <w:highlight w:val="none"/>
        </w:rPr>
        <w:t>以上砂滤料或外敷一定厚度的有机材料</w:t>
      </w:r>
      <w:r>
        <w:rPr>
          <w:rFonts w:hint="eastAsia"/>
          <w:color w:val="auto"/>
          <w:highlight w:val="none"/>
          <w:lang w:eastAsia="zh-CN"/>
        </w:rPr>
        <w:t>；</w:t>
      </w:r>
      <w:r>
        <w:rPr>
          <w:rFonts w:hint="eastAsia"/>
          <w:color w:val="auto"/>
          <w:highlight w:val="none"/>
        </w:rPr>
        <w:t>若淤堵较轻，管周铺设</w:t>
      </w:r>
      <w:r>
        <w:rPr>
          <w:rFonts w:hint="eastAsia"/>
          <w:color w:val="auto"/>
          <w:highlight w:val="none"/>
          <w:lang w:val="en-US" w:eastAsia="zh-CN"/>
        </w:rPr>
        <w:t>砂滤料</w:t>
      </w:r>
      <w:r>
        <w:rPr>
          <w:rFonts w:hint="eastAsia"/>
          <w:color w:val="auto"/>
          <w:highlight w:val="none"/>
        </w:rPr>
        <w:t>不应小于8cm。</w:t>
      </w:r>
    </w:p>
    <w:p w14:paraId="12D00B8D">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采用铺管机铺设吸水管时，应选用粒状滤料、管滤结合或预包成型的管材。</w:t>
      </w:r>
    </w:p>
    <w:p w14:paraId="51E86DF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ascii="黑体" w:hAnsi="黑体" w:eastAsia="黑体" w:cs="黑体"/>
          <w:color w:val="auto"/>
          <w:highlight w:val="none"/>
        </w:rPr>
      </w:pPr>
      <w:r>
        <w:rPr>
          <w:rFonts w:hint="eastAsia" w:ascii="黑体" w:hAnsi="黑体" w:eastAsia="黑体" w:cs="黑体"/>
          <w:color w:val="auto"/>
          <w:highlight w:val="none"/>
        </w:rPr>
        <w:t>6.</w:t>
      </w:r>
      <w:r>
        <w:rPr>
          <w:rFonts w:hint="eastAsia" w:ascii="黑体" w:hAnsi="黑体" w:eastAsia="黑体" w:cs="黑体"/>
          <w:color w:val="auto"/>
          <w:highlight w:val="none"/>
          <w:lang w:val="en-US" w:eastAsia="zh-CN"/>
        </w:rPr>
        <w:t>4</w:t>
      </w:r>
      <w:r>
        <w:rPr>
          <w:rFonts w:hint="eastAsia" w:ascii="黑体" w:hAnsi="黑体" w:eastAsia="黑体" w:cs="黑体"/>
          <w:color w:val="auto"/>
          <w:highlight w:val="none"/>
        </w:rPr>
        <w:t>.3 其他外包滤料</w:t>
      </w:r>
    </w:p>
    <w:p w14:paraId="23B2C35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各种化纤外包滤料的选材、规格和用量应通过试验确定。</w:t>
      </w:r>
    </w:p>
    <w:p w14:paraId="630F694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当采用有机滤料时，铺设厚度应为压实厚度。</w:t>
      </w:r>
    </w:p>
    <w:p w14:paraId="3922F01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人工合成外包滤料的设计要求</w:t>
      </w:r>
      <w:r>
        <w:rPr>
          <w:rFonts w:hint="eastAsia"/>
          <w:color w:val="auto"/>
          <w:highlight w:val="none"/>
          <w:lang w:val="en-US" w:eastAsia="zh-CN"/>
        </w:rPr>
        <w:t>以及</w:t>
      </w:r>
      <w:r>
        <w:rPr>
          <w:color w:val="auto"/>
          <w:highlight w:val="none"/>
        </w:rPr>
        <w:t>有机材料外包滤料铺设方式</w:t>
      </w:r>
      <w:r>
        <w:rPr>
          <w:rFonts w:hint="eastAsia"/>
          <w:color w:val="auto"/>
          <w:highlight w:val="none"/>
          <w:lang w:val="en-US" w:eastAsia="zh-CN"/>
        </w:rPr>
        <w:t>执行国家和行业相关规范要求</w:t>
      </w:r>
      <w:r>
        <w:rPr>
          <w:color w:val="auto"/>
          <w:highlight w:val="none"/>
        </w:rPr>
        <w:t>。</w:t>
      </w:r>
    </w:p>
    <w:p w14:paraId="565B8EA6">
      <w:pPr>
        <w:pStyle w:val="71"/>
        <w:keepNext w:val="0"/>
        <w:keepLines w:val="0"/>
        <w:pageBreakBefore w:val="0"/>
        <w:widowControl/>
        <w:kinsoku/>
        <w:wordWrap/>
        <w:overflowPunct/>
        <w:topLinePunct w:val="0"/>
        <w:autoSpaceDE/>
        <w:autoSpaceDN/>
        <w:bidi w:val="0"/>
        <w:adjustRightInd/>
        <w:snapToGrid/>
        <w:textAlignment w:val="auto"/>
        <w:rPr>
          <w:rFonts w:hint="eastAsia"/>
          <w:color w:val="auto"/>
          <w:highlight w:val="none"/>
          <w:lang w:val="en-US" w:eastAsia="zh-CN"/>
        </w:rPr>
      </w:pPr>
      <w:r>
        <w:rPr>
          <w:rFonts w:hint="eastAsia"/>
          <w:color w:val="auto"/>
          <w:highlight w:val="none"/>
          <w:lang w:val="en-US" w:eastAsia="zh-CN"/>
        </w:rPr>
        <w:t>集水管系统设计</w:t>
      </w:r>
      <w:bookmarkEnd w:id="275"/>
      <w:bookmarkEnd w:id="276"/>
      <w:bookmarkEnd w:id="277"/>
      <w:bookmarkEnd w:id="278"/>
      <w:bookmarkEnd w:id="279"/>
      <w:bookmarkEnd w:id="280"/>
      <w:bookmarkEnd w:id="281"/>
      <w:bookmarkEnd w:id="282"/>
      <w:bookmarkEnd w:id="283"/>
      <w:bookmarkEnd w:id="284"/>
    </w:p>
    <w:p w14:paraId="610F98D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集水管系统设计应在暗管排水工程规划图上进行管网的总体布局和方案比选，包括可能的出口位置、地下水流方向、穿越已有建筑物、规避临近重要建筑物或障碍物、与吸水管的衔接位置和衔接方式、检查井的设置等。</w:t>
      </w:r>
    </w:p>
    <w:p w14:paraId="25E3C27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highlight w:val="none"/>
        </w:rPr>
        <w:t>6.</w:t>
      </w:r>
      <w:r>
        <w:rPr>
          <w:rFonts w:hint="eastAsia" w:ascii="黑体" w:hAnsi="黑体" w:eastAsia="黑体" w:cs="黑体"/>
          <w:color w:val="auto"/>
          <w:highlight w:val="none"/>
          <w:lang w:val="en-US" w:eastAsia="zh-CN"/>
        </w:rPr>
        <w:t>5</w:t>
      </w:r>
      <w:r>
        <w:rPr>
          <w:rFonts w:hint="eastAsia" w:ascii="黑体" w:hAnsi="黑体" w:eastAsia="黑体" w:cs="黑体"/>
          <w:color w:val="auto"/>
          <w:highlight w:val="none"/>
        </w:rPr>
        <w:t>.1 集水管坡降</w:t>
      </w:r>
    </w:p>
    <w:p w14:paraId="7C5DF896">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集水管纵向坡降应与地表坡度</w:t>
      </w:r>
      <w:r>
        <w:rPr>
          <w:rFonts w:hint="eastAsia"/>
          <w:color w:val="auto"/>
          <w:highlight w:val="none"/>
        </w:rPr>
        <w:t>（或地下水流）</w:t>
      </w:r>
      <w:r>
        <w:rPr>
          <w:color w:val="auto"/>
          <w:highlight w:val="none"/>
        </w:rPr>
        <w:t>方向一致，纵向比降不</w:t>
      </w:r>
      <w:r>
        <w:rPr>
          <w:rFonts w:hint="eastAsia"/>
          <w:color w:val="auto"/>
          <w:highlight w:val="none"/>
        </w:rPr>
        <w:t>应</w:t>
      </w:r>
      <w:r>
        <w:rPr>
          <w:color w:val="auto"/>
          <w:highlight w:val="none"/>
        </w:rPr>
        <w:t>低于0.</w:t>
      </w:r>
      <w:r>
        <w:rPr>
          <w:rFonts w:hint="eastAsia"/>
          <w:color w:val="auto"/>
          <w:highlight w:val="none"/>
          <w:lang w:val="en-US" w:eastAsia="zh-CN"/>
        </w:rPr>
        <w:t>0</w:t>
      </w:r>
      <w:r>
        <w:rPr>
          <w:color w:val="auto"/>
          <w:highlight w:val="none"/>
        </w:rPr>
        <w:t>7</w:t>
      </w:r>
      <w:r>
        <w:rPr>
          <w:rFonts w:hint="eastAsia"/>
          <w:color w:val="auto"/>
          <w:highlight w:val="none"/>
          <w:lang w:val="en-US" w:eastAsia="zh-CN"/>
        </w:rPr>
        <w:t>%</w:t>
      </w:r>
      <w:r>
        <w:rPr>
          <w:rFonts w:hint="eastAsia"/>
          <w:color w:val="auto"/>
          <w:highlight w:val="none"/>
        </w:rPr>
        <w:t>，</w:t>
      </w:r>
      <w:r>
        <w:rPr>
          <w:color w:val="auto"/>
          <w:highlight w:val="none"/>
        </w:rPr>
        <w:t>在集水管纵向剖面设计图上应标出相应的地表高程剖面线、沿线所有吸水管的末端位置与高程。</w:t>
      </w:r>
    </w:p>
    <w:p w14:paraId="4BFF1EAC">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6.</w:t>
      </w:r>
      <w:r>
        <w:rPr>
          <w:rFonts w:hint="eastAsia" w:ascii="黑体" w:hAnsi="黑体" w:eastAsia="黑体" w:cs="黑体"/>
          <w:color w:val="auto"/>
          <w:highlight w:val="none"/>
          <w:lang w:val="en-US" w:eastAsia="zh-CN"/>
        </w:rPr>
        <w:t>5</w:t>
      </w:r>
      <w:r>
        <w:rPr>
          <w:rFonts w:hint="eastAsia" w:ascii="黑体" w:hAnsi="黑体" w:eastAsia="黑体" w:cs="黑体"/>
          <w:color w:val="auto"/>
          <w:highlight w:val="none"/>
        </w:rPr>
        <w:t>.2 集水管埋深</w:t>
      </w:r>
    </w:p>
    <w:p w14:paraId="54753C35">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集水管的埋深应保证吸水管在正常条件下自由出流，满足</w:t>
      </w:r>
      <w:r>
        <w:rPr>
          <w:color w:val="auto"/>
          <w:highlight w:val="none"/>
        </w:rPr>
        <w:t>本规</w:t>
      </w:r>
      <w:r>
        <w:rPr>
          <w:rFonts w:hint="eastAsia"/>
          <w:color w:val="auto"/>
          <w:highlight w:val="none"/>
          <w:lang w:val="en-US" w:eastAsia="zh-CN"/>
        </w:rPr>
        <w:t>程</w:t>
      </w:r>
      <w:r>
        <w:rPr>
          <w:color w:val="auto"/>
          <w:highlight w:val="none"/>
        </w:rPr>
        <w:t>6.</w:t>
      </w:r>
      <w:r>
        <w:rPr>
          <w:rFonts w:hint="eastAsia"/>
          <w:color w:val="auto"/>
          <w:highlight w:val="none"/>
          <w:lang w:val="en-US" w:eastAsia="zh-CN"/>
        </w:rPr>
        <w:t>6</w:t>
      </w:r>
      <w:r>
        <w:rPr>
          <w:rFonts w:hint="eastAsia"/>
          <w:color w:val="auto"/>
          <w:highlight w:val="none"/>
        </w:rPr>
        <w:t>.</w:t>
      </w:r>
      <w:r>
        <w:rPr>
          <w:rFonts w:hint="eastAsia"/>
          <w:color w:val="auto"/>
          <w:highlight w:val="none"/>
          <w:lang w:val="en-US" w:eastAsia="zh-CN"/>
        </w:rPr>
        <w:t>2</w:t>
      </w:r>
      <w:r>
        <w:rPr>
          <w:rFonts w:hint="eastAsia"/>
          <w:color w:val="auto"/>
          <w:highlight w:val="none"/>
        </w:rPr>
        <w:t>款的要求，且集水管的最大埋置深度不宜超过</w:t>
      </w:r>
      <w:r>
        <w:rPr>
          <w:color w:val="auto"/>
          <w:highlight w:val="none"/>
        </w:rPr>
        <w:t>3m</w:t>
      </w:r>
      <w:r>
        <w:rPr>
          <w:rFonts w:hint="eastAsia"/>
          <w:color w:val="auto"/>
          <w:highlight w:val="none"/>
        </w:rPr>
        <w:t>。</w:t>
      </w:r>
    </w:p>
    <w:p w14:paraId="7AE76F48">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6.</w:t>
      </w:r>
      <w:r>
        <w:rPr>
          <w:rFonts w:hint="eastAsia" w:ascii="黑体" w:hAnsi="黑体" w:eastAsia="黑体" w:cs="黑体"/>
          <w:color w:val="auto"/>
          <w:highlight w:val="none"/>
          <w:lang w:val="en-US" w:eastAsia="zh-CN"/>
        </w:rPr>
        <w:t>5</w:t>
      </w:r>
      <w:r>
        <w:rPr>
          <w:rFonts w:hint="eastAsia" w:ascii="黑体" w:hAnsi="黑体" w:eastAsia="黑体" w:cs="黑体"/>
          <w:color w:val="auto"/>
          <w:highlight w:val="none"/>
        </w:rPr>
        <w:t>.3 集水管内径</w:t>
      </w:r>
    </w:p>
    <w:p w14:paraId="4833C36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集水管内径按下面要求确定</w:t>
      </w:r>
      <w:r>
        <w:rPr>
          <w:rFonts w:hint="eastAsia"/>
          <w:color w:val="auto"/>
          <w:highlight w:val="none"/>
        </w:rPr>
        <w:t>：</w:t>
      </w:r>
    </w:p>
    <w:p w14:paraId="071CE61F">
      <w:pPr>
        <w:pStyle w:val="85"/>
        <w:keepNext w:val="0"/>
        <w:keepLines w:val="0"/>
        <w:pageBreakBefore w:val="0"/>
        <w:widowControl/>
        <w:numPr>
          <w:ilvl w:val="0"/>
          <w:numId w:val="0"/>
        </w:numPr>
        <w:tabs>
          <w:tab w:val="clear" w:pos="845"/>
        </w:tabs>
        <w:kinsoku/>
        <w:wordWrap/>
        <w:overflowPunct/>
        <w:topLinePunct w:val="0"/>
        <w:autoSpaceDE/>
        <w:autoSpaceDN/>
        <w:bidi w:val="0"/>
        <w:adjustRightInd w:val="0"/>
        <w:snapToGrid w:val="0"/>
        <w:spacing w:line="240" w:lineRule="auto"/>
        <w:ind w:left="839" w:hanging="419"/>
        <w:textAlignment w:val="auto"/>
        <w:rPr>
          <w:color w:val="auto"/>
          <w:highlight w:val="none"/>
        </w:rPr>
      </w:pPr>
      <w:r>
        <w:rPr>
          <w:rFonts w:hint="eastAsia"/>
          <w:color w:val="auto"/>
          <w:highlight w:val="none"/>
        </w:rPr>
        <w:t>（1）</w:t>
      </w:r>
      <w:r>
        <w:rPr>
          <w:color w:val="auto"/>
          <w:highlight w:val="none"/>
        </w:rPr>
        <w:t>按均匀流公式计算</w:t>
      </w:r>
    </w:p>
    <w:p w14:paraId="5217D7F2">
      <w:pPr>
        <w:pStyle w:val="155"/>
        <w:jc w:val="center"/>
        <w:rPr>
          <w:rFonts w:hint="eastAsia"/>
          <w:color w:val="auto"/>
          <w:highlight w:val="none"/>
        </w:rPr>
      </w:pPr>
      <w:r>
        <w:rPr>
          <w:rFonts w:hint="eastAsia"/>
          <w:color w:val="auto"/>
          <w:highlight w:val="none"/>
          <w:lang w:val="en-US" w:eastAsia="zh-CN"/>
        </w:rPr>
        <w:t xml:space="preserve">                                     </w:t>
      </w:r>
      <w:r>
        <w:rPr>
          <w:color w:val="auto"/>
          <w:position w:val="-30"/>
          <w:highlight w:val="none"/>
        </w:rPr>
        <w:object>
          <v:shape id="_x0000_i1036" o:spt="75" type="#_x0000_t75" style="height:42.95pt;width:69pt;" o:ole="t" filled="f" o:preferrelative="t" stroked="f" coordsize="21600,21600">
            <v:path/>
            <v:fill on="f" alignshape="1" focussize="0,0"/>
            <v:stroke on="f"/>
            <v:imagedata r:id="rId35" o:title=""/>
            <o:lock v:ext="edit" aspectratio="t"/>
            <w10:wrap type="none"/>
            <w10:anchorlock/>
          </v:shape>
          <o:OLEObject Type="Embed" ProgID="Equation.DSMT4" ShapeID="_x0000_i1036" DrawAspect="Content" ObjectID="_1468075736" r:id="rId34">
            <o:LockedField>false</o:LockedField>
          </o:OLEObject>
        </w:object>
      </w:r>
      <w:r>
        <w:rPr>
          <w:rFonts w:hint="eastAsia"/>
          <w:color w:val="auto"/>
          <w:highlight w:val="none"/>
        </w:rPr>
        <w:t xml:space="preserve">  </w:t>
      </w:r>
      <w:r>
        <w:rPr>
          <w:rFonts w:hint="eastAsia"/>
          <w:color w:val="auto"/>
          <w:highlight w:val="none"/>
          <w:lang w:val="en-US" w:eastAsia="zh-CN"/>
        </w:rPr>
        <w:t xml:space="preserve">                             </w:t>
      </w:r>
      <w:r>
        <w:rPr>
          <w:rFonts w:hint="eastAsia"/>
          <w:color w:val="auto"/>
          <w:highlight w:val="none"/>
        </w:rPr>
        <w:t>（</w:t>
      </w:r>
      <w:r>
        <w:rPr>
          <w:color w:val="auto"/>
          <w:highlight w:val="none"/>
        </w:rPr>
        <w:t>6.</w:t>
      </w:r>
      <w:r>
        <w:rPr>
          <w:rFonts w:hint="eastAsia"/>
          <w:color w:val="auto"/>
          <w:highlight w:val="none"/>
          <w:lang w:val="en-US" w:eastAsia="zh-CN"/>
        </w:rPr>
        <w:t>5</w:t>
      </w:r>
      <w:r>
        <w:rPr>
          <w:color w:val="auto"/>
          <w:highlight w:val="none"/>
        </w:rPr>
        <w:t>-1</w:t>
      </w:r>
      <w:r>
        <w:rPr>
          <w:rFonts w:hint="eastAsia"/>
          <w:color w:val="auto"/>
          <w:highlight w:val="none"/>
        </w:rPr>
        <w:t>）</w:t>
      </w:r>
    </w:p>
    <w:p w14:paraId="290BB6D7">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auto"/>
        <w:rPr>
          <w:rFonts w:hint="eastAsia" w:ascii="Times New Roman"/>
          <w:color w:val="auto"/>
          <w:highlight w:val="none"/>
        </w:rPr>
      </w:pPr>
      <w:r>
        <w:rPr>
          <w:rFonts w:hint="eastAsia" w:ascii="Times New Roman"/>
          <w:color w:val="auto"/>
          <w:highlight w:val="none"/>
        </w:rPr>
        <w:t>式中符号意义同前；</w:t>
      </w:r>
    </w:p>
    <w:p w14:paraId="444F6FF2">
      <w:pPr>
        <w:pStyle w:val="85"/>
        <w:keepNext w:val="0"/>
        <w:keepLines w:val="0"/>
        <w:pageBreakBefore w:val="0"/>
        <w:widowControl/>
        <w:numPr>
          <w:ilvl w:val="0"/>
          <w:numId w:val="0"/>
        </w:numPr>
        <w:tabs>
          <w:tab w:val="clear" w:pos="845"/>
        </w:tabs>
        <w:kinsoku/>
        <w:wordWrap/>
        <w:overflowPunct/>
        <w:topLinePunct w:val="0"/>
        <w:autoSpaceDE/>
        <w:autoSpaceDN/>
        <w:bidi w:val="0"/>
        <w:adjustRightInd w:val="0"/>
        <w:snapToGrid w:val="0"/>
        <w:spacing w:line="240" w:lineRule="auto"/>
        <w:ind w:left="0" w:firstLine="420" w:firstLineChars="200"/>
        <w:jc w:val="left"/>
        <w:textAlignment w:val="auto"/>
        <w:rPr>
          <w:rFonts w:hint="eastAsia" w:ascii="宋体" w:hAnsi="宋体" w:eastAsia="宋体" w:cs="Times New Roman"/>
          <w:color w:val="auto"/>
          <w:sz w:val="21"/>
          <w:szCs w:val="21"/>
          <w:highlight w:val="none"/>
          <w:lang w:val="en-US" w:eastAsia="zh-CN" w:bidi="ar-SA"/>
        </w:rPr>
      </w:pPr>
      <w:r>
        <w:rPr>
          <w:rFonts w:hint="eastAsia" w:ascii="宋体" w:hAnsi="宋体" w:eastAsia="宋体" w:cs="Times New Roman"/>
          <w:color w:val="auto"/>
          <w:sz w:val="21"/>
          <w:szCs w:val="21"/>
          <w:highlight w:val="none"/>
          <w:lang w:val="en-US" w:eastAsia="zh-CN" w:bidi="ar-SA"/>
        </w:rPr>
        <w:t>（2）集水管实际选用内径应为计算内径的</w:t>
      </w:r>
      <w:r>
        <w:rPr>
          <w:rFonts w:ascii="宋体" w:hAnsi="宋体" w:eastAsia="宋体" w:cs="Times New Roman"/>
          <w:color w:val="auto"/>
          <w:sz w:val="21"/>
          <w:szCs w:val="21"/>
          <w:highlight w:val="none"/>
          <w:lang w:val="en-US" w:eastAsia="zh-CN" w:bidi="ar-SA"/>
        </w:rPr>
        <w:t>1.1</w:t>
      </w:r>
      <w:r>
        <w:rPr>
          <w:rFonts w:hint="eastAsia" w:ascii="宋体" w:hAnsi="宋体" w:eastAsia="宋体" w:cs="Times New Roman"/>
          <w:color w:val="auto"/>
          <w:sz w:val="21"/>
          <w:szCs w:val="21"/>
          <w:highlight w:val="none"/>
          <w:lang w:val="en-US" w:eastAsia="zh-CN" w:bidi="ar-SA"/>
        </w:rPr>
        <w:t>倍，根据宁夏多年暗管排水工程实践，建议集水管内径不宜小于</w:t>
      </w:r>
      <w:r>
        <w:rPr>
          <w:rFonts w:ascii="宋体" w:hAnsi="宋体" w:eastAsia="宋体" w:cs="Times New Roman"/>
          <w:color w:val="auto"/>
          <w:sz w:val="21"/>
          <w:szCs w:val="21"/>
          <w:highlight w:val="none"/>
          <w:lang w:val="en-US" w:eastAsia="zh-CN" w:bidi="ar-SA"/>
        </w:rPr>
        <w:t>100mm</w:t>
      </w:r>
      <w:r>
        <w:rPr>
          <w:rFonts w:hint="eastAsia" w:ascii="宋体" w:hAnsi="宋体" w:eastAsia="宋体" w:cs="Times New Roman"/>
          <w:color w:val="auto"/>
          <w:sz w:val="21"/>
          <w:szCs w:val="21"/>
          <w:highlight w:val="none"/>
          <w:lang w:val="en-US" w:eastAsia="zh-CN" w:bidi="ar-SA"/>
        </w:rPr>
        <w:t>；</w:t>
      </w:r>
    </w:p>
    <w:p w14:paraId="512CBFFA">
      <w:pPr>
        <w:pStyle w:val="85"/>
        <w:keepNext w:val="0"/>
        <w:keepLines w:val="0"/>
        <w:pageBreakBefore w:val="0"/>
        <w:widowControl/>
        <w:numPr>
          <w:ilvl w:val="0"/>
          <w:numId w:val="0"/>
        </w:numPr>
        <w:tabs>
          <w:tab w:val="clear" w:pos="845"/>
        </w:tabs>
        <w:kinsoku/>
        <w:wordWrap/>
        <w:overflowPunct/>
        <w:topLinePunct w:val="0"/>
        <w:autoSpaceDE/>
        <w:autoSpaceDN/>
        <w:bidi w:val="0"/>
        <w:adjustRightInd w:val="0"/>
        <w:snapToGrid w:val="0"/>
        <w:spacing w:line="240" w:lineRule="auto"/>
        <w:ind w:left="839" w:hanging="419"/>
        <w:textAlignment w:val="auto"/>
        <w:rPr>
          <w:color w:val="auto"/>
          <w:highlight w:val="none"/>
        </w:rPr>
      </w:pPr>
      <w:r>
        <w:rPr>
          <w:rFonts w:hint="eastAsia"/>
          <w:color w:val="auto"/>
          <w:highlight w:val="none"/>
        </w:rPr>
        <w:t>（3）控制排水面积较大的集水管可根据汇流情况分段变径，一般宜在检查井内实施变径。</w:t>
      </w:r>
    </w:p>
    <w:p w14:paraId="1E73CAD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根据吸水管的数量和排出水量选择集水管的管径</w:t>
      </w:r>
      <w:r>
        <w:rPr>
          <w:rFonts w:hint="eastAsia"/>
          <w:color w:val="auto"/>
          <w:highlight w:val="none"/>
        </w:rPr>
        <w:t>时</w:t>
      </w:r>
      <w:r>
        <w:rPr>
          <w:color w:val="auto"/>
          <w:highlight w:val="none"/>
        </w:rPr>
        <w:t>，</w:t>
      </w:r>
      <w:r>
        <w:rPr>
          <w:rFonts w:hint="eastAsia"/>
          <w:color w:val="auto"/>
          <w:highlight w:val="none"/>
        </w:rPr>
        <w:t>其</w:t>
      </w:r>
      <w:r>
        <w:rPr>
          <w:color w:val="auto"/>
          <w:highlight w:val="none"/>
        </w:rPr>
        <w:t>最大管径不宜超过</w:t>
      </w:r>
      <w:r>
        <w:rPr>
          <w:rFonts w:hint="eastAsia"/>
          <w:color w:val="auto"/>
          <w:highlight w:val="none"/>
        </w:rPr>
        <w:t>3</w:t>
      </w:r>
      <w:r>
        <w:rPr>
          <w:color w:val="auto"/>
          <w:highlight w:val="none"/>
        </w:rPr>
        <w:t>00mm</w:t>
      </w:r>
      <w:r>
        <w:rPr>
          <w:rFonts w:hint="eastAsia"/>
          <w:color w:val="auto"/>
          <w:highlight w:val="none"/>
        </w:rPr>
        <w:t>；地质条件复杂或管径较大的集水管需进行埋管土压力计算</w:t>
      </w:r>
      <w:r>
        <w:rPr>
          <w:color w:val="auto"/>
          <w:highlight w:val="none"/>
        </w:rPr>
        <w:t>。</w:t>
      </w:r>
    </w:p>
    <w:p w14:paraId="1C51573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6.</w:t>
      </w:r>
      <w:r>
        <w:rPr>
          <w:rFonts w:hint="eastAsia" w:ascii="黑体" w:hAnsi="黑体" w:eastAsia="黑体" w:cs="黑体"/>
          <w:color w:val="auto"/>
          <w:highlight w:val="none"/>
          <w:lang w:val="en-US" w:eastAsia="zh-CN"/>
        </w:rPr>
        <w:t>5</w:t>
      </w:r>
      <w:r>
        <w:rPr>
          <w:rFonts w:hint="eastAsia" w:ascii="黑体" w:hAnsi="黑体" w:eastAsia="黑体" w:cs="黑体"/>
          <w:color w:val="auto"/>
          <w:highlight w:val="none"/>
        </w:rPr>
        <w:t>.4 集水管底基础</w:t>
      </w:r>
    </w:p>
    <w:p w14:paraId="5A48978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szCs w:val="22"/>
          <w:highlight w:val="none"/>
        </w:rPr>
      </w:pPr>
      <w:r>
        <w:rPr>
          <w:rFonts w:hint="eastAsia"/>
          <w:color w:val="auto"/>
          <w:highlight w:val="none"/>
        </w:rPr>
        <w:t>应在</w:t>
      </w:r>
      <w:r>
        <w:rPr>
          <w:color w:val="auto"/>
          <w:highlight w:val="none"/>
        </w:rPr>
        <w:t>集水管底部</w:t>
      </w:r>
      <w:r>
        <w:rPr>
          <w:rFonts w:hint="eastAsia"/>
          <w:color w:val="auto"/>
          <w:highlight w:val="none"/>
        </w:rPr>
        <w:t>设置</w:t>
      </w:r>
      <w:r>
        <w:rPr>
          <w:color w:val="auto"/>
          <w:highlight w:val="none"/>
        </w:rPr>
        <w:t>稳定管体的</w:t>
      </w:r>
      <w:r>
        <w:rPr>
          <w:rFonts w:hint="eastAsia"/>
          <w:color w:val="auto"/>
          <w:highlight w:val="none"/>
        </w:rPr>
        <w:t>压</w:t>
      </w:r>
      <w:r>
        <w:rPr>
          <w:color w:val="auto"/>
          <w:highlight w:val="none"/>
        </w:rPr>
        <w:t>实土垫</w:t>
      </w:r>
      <w:r>
        <w:rPr>
          <w:rFonts w:hint="eastAsia"/>
          <w:color w:val="auto"/>
          <w:szCs w:val="22"/>
          <w:highlight w:val="none"/>
        </w:rPr>
        <w:t>层，管间接缝处设置稳固的混凝土基座。</w:t>
      </w:r>
    </w:p>
    <w:p w14:paraId="7C4B32B1">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6.</w:t>
      </w:r>
      <w:r>
        <w:rPr>
          <w:rFonts w:hint="eastAsia" w:ascii="黑体" w:hAnsi="黑体" w:eastAsia="黑体" w:cs="黑体"/>
          <w:color w:val="auto"/>
          <w:highlight w:val="none"/>
          <w:lang w:val="en-US" w:eastAsia="zh-CN"/>
        </w:rPr>
        <w:t>5</w:t>
      </w:r>
      <w:r>
        <w:rPr>
          <w:rFonts w:hint="eastAsia" w:ascii="黑体" w:hAnsi="黑体" w:eastAsia="黑体" w:cs="黑体"/>
          <w:color w:val="auto"/>
          <w:highlight w:val="none"/>
        </w:rPr>
        <w:t>.5 集水管长度</w:t>
      </w:r>
    </w:p>
    <w:p w14:paraId="22064565">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集水管的间距视吸水管的平面布置形式和地形而定，主要取决于吸水管的长度、布置形式及其与集水管的衔接方式。</w:t>
      </w:r>
    </w:p>
    <w:p w14:paraId="5DEAA29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lang w:eastAsia="zh-CN"/>
        </w:rPr>
      </w:pPr>
      <w:r>
        <w:rPr>
          <w:rFonts w:hint="eastAsia"/>
          <w:color w:val="auto"/>
          <w:highlight w:val="none"/>
        </w:rPr>
        <w:t>有吸水管汇入的集水管段的长度，以能保证吸水管在正常条件下自由出流且集水管能自由排入承泄区或集水井为原则</w:t>
      </w:r>
      <w:r>
        <w:rPr>
          <w:rFonts w:hint="eastAsia"/>
          <w:color w:val="auto"/>
          <w:highlight w:val="none"/>
          <w:lang w:eastAsia="zh-CN"/>
        </w:rPr>
        <w:t>。</w:t>
      </w:r>
    </w:p>
    <w:p w14:paraId="4FF0BD0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集水管沿程未连接吸水管入流的管段不宜过长，如超过</w:t>
      </w:r>
      <w:r>
        <w:rPr>
          <w:color w:val="auto"/>
          <w:highlight w:val="none"/>
        </w:rPr>
        <w:t>300m</w:t>
      </w:r>
      <w:r>
        <w:rPr>
          <w:rFonts w:hint="eastAsia"/>
          <w:color w:val="auto"/>
          <w:highlight w:val="none"/>
        </w:rPr>
        <w:t>则需设置检查井。</w:t>
      </w:r>
    </w:p>
    <w:p w14:paraId="78F98B9A">
      <w:pPr>
        <w:pStyle w:val="71"/>
        <w:keepNext w:val="0"/>
        <w:keepLines w:val="0"/>
        <w:pageBreakBefore w:val="0"/>
        <w:widowControl/>
        <w:kinsoku/>
        <w:wordWrap/>
        <w:overflowPunct/>
        <w:topLinePunct w:val="0"/>
        <w:autoSpaceDE/>
        <w:autoSpaceDN/>
        <w:bidi w:val="0"/>
        <w:adjustRightInd/>
        <w:snapToGrid/>
        <w:textAlignment w:val="auto"/>
        <w:rPr>
          <w:rFonts w:hint="eastAsia"/>
          <w:color w:val="auto"/>
          <w:highlight w:val="none"/>
          <w:lang w:val="en-US" w:eastAsia="zh-CN"/>
        </w:rPr>
      </w:pPr>
      <w:bookmarkStart w:id="285" w:name="_Toc5172"/>
      <w:bookmarkStart w:id="286" w:name="_Toc30688"/>
      <w:bookmarkStart w:id="287" w:name="_Toc15514"/>
      <w:bookmarkStart w:id="288" w:name="_Toc24442"/>
      <w:bookmarkStart w:id="289" w:name="_Toc12781"/>
      <w:bookmarkStart w:id="290" w:name="_Toc520823474"/>
      <w:bookmarkStart w:id="291" w:name="_Toc9672"/>
      <w:bookmarkStart w:id="292" w:name="_Toc522140502"/>
      <w:bookmarkStart w:id="293" w:name="_Toc299889772"/>
      <w:bookmarkStart w:id="294" w:name="_Toc520709305"/>
      <w:r>
        <w:rPr>
          <w:rFonts w:hint="eastAsia"/>
          <w:color w:val="auto"/>
          <w:highlight w:val="none"/>
          <w:lang w:val="en-US" w:eastAsia="zh-CN"/>
        </w:rPr>
        <w:t>检查井</w:t>
      </w:r>
      <w:bookmarkEnd w:id="285"/>
      <w:bookmarkEnd w:id="286"/>
      <w:bookmarkEnd w:id="287"/>
      <w:bookmarkEnd w:id="288"/>
      <w:r>
        <w:rPr>
          <w:rFonts w:hint="eastAsia"/>
          <w:color w:val="auto"/>
          <w:highlight w:val="none"/>
          <w:lang w:val="en-US" w:eastAsia="zh-CN"/>
        </w:rPr>
        <w:t>（连接井）</w:t>
      </w:r>
      <w:bookmarkEnd w:id="289"/>
      <w:bookmarkEnd w:id="290"/>
      <w:bookmarkEnd w:id="291"/>
      <w:bookmarkEnd w:id="292"/>
      <w:bookmarkEnd w:id="293"/>
      <w:bookmarkEnd w:id="294"/>
    </w:p>
    <w:p w14:paraId="469A297B">
      <w:pPr>
        <w:pStyle w:val="117"/>
        <w:keepNext w:val="0"/>
        <w:keepLines w:val="0"/>
        <w:pageBreakBefore w:val="0"/>
        <w:widowControl/>
        <w:numPr>
          <w:ilvl w:val="0"/>
          <w:numId w:val="0"/>
        </w:numPr>
        <w:kinsoku/>
        <w:wordWrap/>
        <w:overflowPunct/>
        <w:topLinePunct w:val="0"/>
        <w:autoSpaceDE/>
        <w:autoSpaceDN/>
        <w:bidi w:val="0"/>
        <w:adjustRightInd w:val="0"/>
        <w:snapToGrid w:val="0"/>
        <w:spacing w:line="360" w:lineRule="exact"/>
        <w:ind w:firstLine="420" w:firstLineChars="200"/>
        <w:textAlignment w:val="auto"/>
        <w:rPr>
          <w:rFonts w:hint="eastAsia"/>
          <w:color w:val="auto"/>
          <w:highlight w:val="none"/>
        </w:rPr>
      </w:pPr>
      <w:r>
        <w:rPr>
          <w:color w:val="auto"/>
          <w:highlight w:val="none"/>
        </w:rPr>
        <w:t>集水管与吸水管的联接</w:t>
      </w:r>
      <w:r>
        <w:rPr>
          <w:rFonts w:hint="eastAsia"/>
          <w:color w:val="auto"/>
          <w:highlight w:val="none"/>
          <w:lang w:val="en-US" w:eastAsia="zh-CN"/>
        </w:rPr>
        <w:t>处应设置</w:t>
      </w:r>
      <w:r>
        <w:rPr>
          <w:color w:val="auto"/>
          <w:highlight w:val="none"/>
        </w:rPr>
        <w:t>设置检查井</w:t>
      </w:r>
      <w:r>
        <w:rPr>
          <w:rFonts w:hint="eastAsia"/>
          <w:color w:val="auto"/>
          <w:highlight w:val="none"/>
        </w:rPr>
        <w:t>（连接井）。</w:t>
      </w:r>
    </w:p>
    <w:p w14:paraId="6DD7047A">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eastAsia="黑体"/>
          <w:color w:val="auto"/>
          <w:highlight w:val="none"/>
          <w:lang w:val="en-US" w:eastAsia="zh-CN"/>
        </w:rPr>
      </w:pPr>
      <w:r>
        <w:rPr>
          <w:rFonts w:hint="eastAsia" w:ascii="黑体" w:hAnsi="黑体" w:eastAsia="黑体" w:cs="黑体"/>
          <w:color w:val="auto"/>
          <w:highlight w:val="none"/>
        </w:rPr>
        <w:t>6.</w:t>
      </w:r>
      <w:r>
        <w:rPr>
          <w:rFonts w:hint="eastAsia" w:ascii="黑体" w:hAnsi="黑体" w:eastAsia="黑体" w:cs="黑体"/>
          <w:color w:val="auto"/>
          <w:highlight w:val="none"/>
          <w:lang w:val="en-US" w:eastAsia="zh-CN"/>
        </w:rPr>
        <w:t>6</w:t>
      </w:r>
      <w:r>
        <w:rPr>
          <w:rFonts w:hint="eastAsia" w:ascii="黑体" w:hAnsi="黑体" w:eastAsia="黑体" w:cs="黑体"/>
          <w:color w:val="auto"/>
          <w:highlight w:val="none"/>
        </w:rPr>
        <w:t>.1 检查井作用</w:t>
      </w:r>
      <w:r>
        <w:rPr>
          <w:rFonts w:hint="eastAsia" w:ascii="黑体" w:hAnsi="黑体" w:eastAsia="黑体" w:cs="黑体"/>
          <w:color w:val="auto"/>
          <w:highlight w:val="none"/>
          <w:lang w:val="en-US" w:eastAsia="zh-CN"/>
        </w:rPr>
        <w:t>与类型</w:t>
      </w:r>
    </w:p>
    <w:p w14:paraId="610B911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检查井</w:t>
      </w:r>
      <w:r>
        <w:rPr>
          <w:rFonts w:hint="eastAsia"/>
          <w:color w:val="auto"/>
          <w:highlight w:val="none"/>
        </w:rPr>
        <w:t>（连接井）</w:t>
      </w:r>
      <w:r>
        <w:rPr>
          <w:color w:val="auto"/>
          <w:highlight w:val="none"/>
        </w:rPr>
        <w:t>主要用来</w:t>
      </w:r>
      <w:r>
        <w:rPr>
          <w:rFonts w:hint="eastAsia"/>
          <w:color w:val="auto"/>
          <w:highlight w:val="none"/>
        </w:rPr>
        <w:t>保障</w:t>
      </w:r>
      <w:r>
        <w:rPr>
          <w:color w:val="auto"/>
          <w:highlight w:val="none"/>
        </w:rPr>
        <w:t>暗管排水系统正常运行</w:t>
      </w:r>
      <w:r>
        <w:rPr>
          <w:rFonts w:hint="eastAsia"/>
          <w:color w:val="auto"/>
          <w:highlight w:val="none"/>
        </w:rPr>
        <w:t>，其主要</w:t>
      </w:r>
      <w:r>
        <w:rPr>
          <w:color w:val="auto"/>
          <w:highlight w:val="none"/>
        </w:rPr>
        <w:t>作用有</w:t>
      </w:r>
      <w:r>
        <w:rPr>
          <w:rFonts w:hint="eastAsia"/>
          <w:color w:val="auto"/>
          <w:highlight w:val="none"/>
        </w:rPr>
        <w:t>：</w:t>
      </w:r>
      <w:r>
        <w:rPr>
          <w:color w:val="auto"/>
          <w:highlight w:val="none"/>
        </w:rPr>
        <w:t>（1）吸水管之间、吸水管与集水管之间的</w:t>
      </w:r>
      <w:r>
        <w:rPr>
          <w:rFonts w:hint="eastAsia"/>
          <w:color w:val="auto"/>
          <w:highlight w:val="none"/>
        </w:rPr>
        <w:t>连</w:t>
      </w:r>
      <w:r>
        <w:rPr>
          <w:color w:val="auto"/>
          <w:highlight w:val="none"/>
        </w:rPr>
        <w:t>接；（2）排入暗管的含沙水的沉沙作用；（3）定期维护、检修、冲洗管道。</w:t>
      </w:r>
    </w:p>
    <w:p w14:paraId="3291A17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检查井</w:t>
      </w:r>
      <w:r>
        <w:rPr>
          <w:rFonts w:hint="eastAsia"/>
          <w:color w:val="auto"/>
          <w:highlight w:val="none"/>
        </w:rPr>
        <w:t>（连接井）</w:t>
      </w:r>
      <w:r>
        <w:rPr>
          <w:color w:val="auto"/>
          <w:highlight w:val="none"/>
        </w:rPr>
        <w:t>按出露情况分为明置</w:t>
      </w:r>
      <w:r>
        <w:rPr>
          <w:rFonts w:hint="eastAsia"/>
          <w:color w:val="auto"/>
          <w:highlight w:val="none"/>
        </w:rPr>
        <w:t>式</w:t>
      </w:r>
      <w:r>
        <w:rPr>
          <w:color w:val="auto"/>
          <w:highlight w:val="none"/>
        </w:rPr>
        <w:t>和暗埋式</w:t>
      </w:r>
      <w:r>
        <w:rPr>
          <w:rFonts w:hint="eastAsia"/>
          <w:color w:val="auto"/>
          <w:highlight w:val="none"/>
        </w:rPr>
        <w:t>两种</w:t>
      </w:r>
      <w:r>
        <w:rPr>
          <w:color w:val="auto"/>
          <w:highlight w:val="none"/>
        </w:rPr>
        <w:t>。</w:t>
      </w:r>
    </w:p>
    <w:p w14:paraId="3C3768A0">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一般情况下，检查井</w:t>
      </w:r>
      <w:r>
        <w:rPr>
          <w:rFonts w:hint="eastAsia"/>
          <w:color w:val="auto"/>
          <w:highlight w:val="none"/>
        </w:rPr>
        <w:t>（连接井）宜</w:t>
      </w:r>
      <w:r>
        <w:rPr>
          <w:color w:val="auto"/>
          <w:highlight w:val="none"/>
        </w:rPr>
        <w:t>采用明置方式</w:t>
      </w:r>
      <w:r>
        <w:rPr>
          <w:rFonts w:hint="eastAsia"/>
          <w:color w:val="auto"/>
          <w:highlight w:val="none"/>
        </w:rPr>
        <w:t>，</w:t>
      </w:r>
      <w:r>
        <w:rPr>
          <w:color w:val="auto"/>
          <w:highlight w:val="none"/>
        </w:rPr>
        <w:t>设置在田块之间</w:t>
      </w:r>
      <w:r>
        <w:rPr>
          <w:rFonts w:hint="eastAsia"/>
          <w:color w:val="auto"/>
          <w:highlight w:val="none"/>
        </w:rPr>
        <w:t>尽量不影响农业生产</w:t>
      </w:r>
      <w:r>
        <w:rPr>
          <w:color w:val="auto"/>
          <w:highlight w:val="none"/>
        </w:rPr>
        <w:t>。</w:t>
      </w:r>
    </w:p>
    <w:p w14:paraId="44FEE58A">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设置在田块内的检查井</w:t>
      </w:r>
      <w:r>
        <w:rPr>
          <w:rFonts w:hint="eastAsia"/>
          <w:color w:val="auto"/>
          <w:highlight w:val="none"/>
        </w:rPr>
        <w:t>（连接井）</w:t>
      </w:r>
      <w:r>
        <w:rPr>
          <w:color w:val="auto"/>
          <w:highlight w:val="none"/>
        </w:rPr>
        <w:t>宜选择暗埋式设计</w:t>
      </w:r>
      <w:r>
        <w:rPr>
          <w:rFonts w:hint="eastAsia"/>
          <w:color w:val="auto"/>
          <w:highlight w:val="none"/>
          <w:lang w:eastAsia="zh-CN"/>
        </w:rPr>
        <w:t>，</w:t>
      </w:r>
      <w:r>
        <w:rPr>
          <w:color w:val="auto"/>
          <w:highlight w:val="none"/>
        </w:rPr>
        <w:t>暗埋式</w:t>
      </w:r>
      <w:r>
        <w:rPr>
          <w:rFonts w:hint="eastAsia"/>
          <w:color w:val="auto"/>
          <w:highlight w:val="none"/>
        </w:rPr>
        <w:t>检查井（连接井）的埋置深度应大于农田耕作层的深度，一般应大于40</w:t>
      </w:r>
      <w:r>
        <w:rPr>
          <w:color w:val="auto"/>
          <w:highlight w:val="none"/>
        </w:rPr>
        <w:t>cm</w:t>
      </w:r>
      <w:r>
        <w:rPr>
          <w:rFonts w:hint="eastAsia"/>
          <w:color w:val="auto"/>
          <w:highlight w:val="none"/>
        </w:rPr>
        <w:t>，并做好位置标记。</w:t>
      </w:r>
    </w:p>
    <w:p w14:paraId="632AAEA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6.</w:t>
      </w:r>
      <w:r>
        <w:rPr>
          <w:rFonts w:hint="eastAsia" w:ascii="黑体" w:hAnsi="黑体" w:eastAsia="黑体" w:cs="黑体"/>
          <w:color w:val="auto"/>
          <w:highlight w:val="none"/>
          <w:lang w:val="en-US" w:eastAsia="zh-CN"/>
        </w:rPr>
        <w:t>6</w:t>
      </w:r>
      <w:r>
        <w:rPr>
          <w:rFonts w:hint="eastAsia" w:ascii="黑体" w:hAnsi="黑体" w:eastAsia="黑体" w:cs="黑体"/>
          <w:color w:val="auto"/>
          <w:highlight w:val="none"/>
        </w:rPr>
        <w:t>.2 检查井结构要求</w:t>
      </w:r>
    </w:p>
    <w:p w14:paraId="1F358206">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连接集水管与吸水管的检查井（连接井），井内集水管（管顶）应低于吸水管20</w:t>
      </w:r>
      <w:r>
        <w:rPr>
          <w:color w:val="auto"/>
          <w:highlight w:val="none"/>
        </w:rPr>
        <w:t>cm</w:t>
      </w:r>
      <w:r>
        <w:rPr>
          <w:rFonts w:hint="eastAsia"/>
          <w:color w:val="auto"/>
          <w:highlight w:val="none"/>
        </w:rPr>
        <w:t>以上。</w:t>
      </w:r>
    </w:p>
    <w:p w14:paraId="4B02BC1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检查井（连接井）内集水管的管口底部位置与检查井的底板之间应预留</w:t>
      </w:r>
      <w:r>
        <w:rPr>
          <w:color w:val="auto"/>
          <w:highlight w:val="none"/>
        </w:rPr>
        <w:t>30</w:t>
      </w:r>
      <w:r>
        <w:rPr>
          <w:rFonts w:ascii="Times New Roman" w:hAnsi="Times New Roman"/>
          <w:color w:val="auto"/>
          <w:highlight w:val="none"/>
        </w:rPr>
        <w:t>~</w:t>
      </w:r>
      <w:r>
        <w:rPr>
          <w:rFonts w:hint="eastAsia"/>
          <w:color w:val="auto"/>
          <w:highlight w:val="none"/>
        </w:rPr>
        <w:t>50</w:t>
      </w:r>
      <w:r>
        <w:rPr>
          <w:color w:val="auto"/>
          <w:highlight w:val="none"/>
        </w:rPr>
        <w:t>cm</w:t>
      </w:r>
      <w:r>
        <w:rPr>
          <w:rFonts w:hint="eastAsia"/>
          <w:color w:val="auto"/>
          <w:highlight w:val="none"/>
        </w:rPr>
        <w:t>以上的空间，便于沉淀进入检查井（连接井）的泥沙。</w:t>
      </w:r>
    </w:p>
    <w:p w14:paraId="2C8A13E6">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检查井采用混凝土预制井管，直径不宜小于</w:t>
      </w:r>
      <w:r>
        <w:rPr>
          <w:color w:val="auto"/>
          <w:highlight w:val="none"/>
        </w:rPr>
        <w:t>80cm</w:t>
      </w:r>
      <w:r>
        <w:rPr>
          <w:rFonts w:hint="eastAsia"/>
          <w:color w:val="auto"/>
          <w:highlight w:val="none"/>
        </w:rPr>
        <w:t>，以便于检修人员进入井内操作。</w:t>
      </w:r>
    </w:p>
    <w:p w14:paraId="06685CA0">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rPr>
        <w:t>6.</w:t>
      </w:r>
      <w:r>
        <w:rPr>
          <w:rFonts w:hint="eastAsia" w:ascii="黑体" w:hAnsi="黑体" w:eastAsia="黑体" w:cs="黑体"/>
          <w:color w:val="auto"/>
          <w:highlight w:val="none"/>
          <w:lang w:val="en-US" w:eastAsia="zh-CN"/>
        </w:rPr>
        <w:t>6</w:t>
      </w:r>
      <w:r>
        <w:rPr>
          <w:rFonts w:hint="eastAsia" w:ascii="黑体" w:hAnsi="黑体" w:eastAsia="黑体" w:cs="黑体"/>
          <w:color w:val="auto"/>
          <w:highlight w:val="none"/>
        </w:rPr>
        <w:t>.3 水力校核</w:t>
      </w:r>
    </w:p>
    <w:p w14:paraId="67DE4DC7">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应进行水力计算，校核检查井内水位，保障吸水管中的水能自流排入井内，且井内集水管衔接处水流平稳通畅。</w:t>
      </w:r>
    </w:p>
    <w:p w14:paraId="3580F01F">
      <w:pPr>
        <w:pStyle w:val="71"/>
        <w:keepNext w:val="0"/>
        <w:keepLines w:val="0"/>
        <w:pageBreakBefore w:val="0"/>
        <w:widowControl/>
        <w:kinsoku/>
        <w:wordWrap/>
        <w:overflowPunct/>
        <w:topLinePunct w:val="0"/>
        <w:autoSpaceDE/>
        <w:autoSpaceDN/>
        <w:bidi w:val="0"/>
        <w:adjustRightInd/>
        <w:snapToGrid/>
        <w:textAlignment w:val="auto"/>
        <w:rPr>
          <w:rFonts w:hint="eastAsia"/>
          <w:color w:val="auto"/>
          <w:highlight w:val="none"/>
          <w:lang w:val="en-US" w:eastAsia="zh-CN"/>
        </w:rPr>
      </w:pPr>
      <w:bookmarkStart w:id="295" w:name="_Toc14645"/>
      <w:bookmarkStart w:id="296" w:name="_Toc12547"/>
      <w:bookmarkStart w:id="297" w:name="_Toc6836"/>
      <w:bookmarkStart w:id="298" w:name="_Toc102"/>
      <w:bookmarkStart w:id="299" w:name="_Toc520823475"/>
      <w:bookmarkStart w:id="300" w:name="_Toc10246"/>
      <w:bookmarkStart w:id="301" w:name="_Toc520709306"/>
      <w:bookmarkStart w:id="302" w:name="_Toc522140503"/>
      <w:bookmarkStart w:id="303" w:name="_Toc12435"/>
      <w:bookmarkStart w:id="304" w:name="_Toc299889773"/>
      <w:r>
        <w:rPr>
          <w:rFonts w:hint="eastAsia"/>
          <w:color w:val="auto"/>
          <w:highlight w:val="none"/>
          <w:lang w:val="en-US" w:eastAsia="zh-CN"/>
        </w:rPr>
        <w:t>暗管排水出口</w:t>
      </w:r>
      <w:bookmarkEnd w:id="295"/>
      <w:bookmarkEnd w:id="296"/>
      <w:bookmarkEnd w:id="297"/>
      <w:bookmarkEnd w:id="298"/>
      <w:r>
        <w:rPr>
          <w:rFonts w:hint="eastAsia"/>
          <w:color w:val="auto"/>
          <w:highlight w:val="none"/>
          <w:lang w:val="en-US" w:eastAsia="zh-CN"/>
        </w:rPr>
        <w:t>段设置</w:t>
      </w:r>
      <w:bookmarkEnd w:id="299"/>
      <w:bookmarkEnd w:id="300"/>
      <w:bookmarkEnd w:id="301"/>
      <w:bookmarkEnd w:id="302"/>
      <w:bookmarkEnd w:id="303"/>
      <w:bookmarkEnd w:id="304"/>
    </w:p>
    <w:p w14:paraId="3A571945">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default"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6.7.1 基本要求</w:t>
      </w:r>
    </w:p>
    <w:p w14:paraId="10E1C16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rFonts w:hint="eastAsia"/>
          <w:color w:val="auto"/>
          <w:highlight w:val="none"/>
        </w:rPr>
        <w:t>暗管排水进入承泄区必须设置出口保护措施。一般在暗管出口管段</w:t>
      </w:r>
      <w:r>
        <w:rPr>
          <w:color w:val="auto"/>
          <w:highlight w:val="none"/>
        </w:rPr>
        <w:t>2</w:t>
      </w:r>
      <w:r>
        <w:rPr>
          <w:rFonts w:ascii="Times New Roman" w:hAnsi="Times New Roman"/>
          <w:color w:val="auto"/>
          <w:highlight w:val="none"/>
        </w:rPr>
        <w:t>~</w:t>
      </w:r>
      <w:r>
        <w:rPr>
          <w:color w:val="auto"/>
          <w:highlight w:val="none"/>
        </w:rPr>
        <w:t>3m</w:t>
      </w:r>
      <w:r>
        <w:rPr>
          <w:rFonts w:hint="eastAsia"/>
          <w:color w:val="auto"/>
          <w:highlight w:val="none"/>
        </w:rPr>
        <w:t>左右采用硬质套管，有条件的情况下宜设计出口建筑物</w:t>
      </w:r>
    </w:p>
    <w:p w14:paraId="27781F4A">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rFonts w:hint="eastAsia"/>
          <w:color w:val="auto"/>
          <w:highlight w:val="none"/>
          <w:lang w:val="en-US" w:eastAsia="zh-CN"/>
        </w:rPr>
        <w:t>暗管</w:t>
      </w:r>
      <w:r>
        <w:rPr>
          <w:rFonts w:hint="eastAsia"/>
          <w:color w:val="auto"/>
          <w:highlight w:val="none"/>
        </w:rPr>
        <w:t>排水进入明沟的暗管，其出口位置应高于明沟沟底</w:t>
      </w:r>
      <w:r>
        <w:rPr>
          <w:color w:val="auto"/>
          <w:highlight w:val="none"/>
        </w:rPr>
        <w:t>50cm</w:t>
      </w:r>
      <w:r>
        <w:rPr>
          <w:rFonts w:hint="eastAsia"/>
          <w:color w:val="auto"/>
          <w:highlight w:val="none"/>
        </w:rPr>
        <w:t>以上，明沟边坡应进行防冲处理并设置暗管出口建筑物。</w:t>
      </w:r>
    </w:p>
    <w:p w14:paraId="41BDF60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color w:val="auto"/>
          <w:highlight w:val="none"/>
        </w:rPr>
        <w:t>暗管排水出口位置</w:t>
      </w:r>
      <w:r>
        <w:rPr>
          <w:rFonts w:hint="eastAsia"/>
          <w:color w:val="auto"/>
          <w:highlight w:val="none"/>
        </w:rPr>
        <w:t>应设置醒目标志，以免暗管承泄区（沟道）清淤、除草以及更新改造时，出口管道被损毁。</w:t>
      </w:r>
    </w:p>
    <w:p w14:paraId="0C4EE70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default"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6.7.2 一级暗管排水</w:t>
      </w:r>
    </w:p>
    <w:p w14:paraId="43C1116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color w:val="auto"/>
          <w:highlight w:val="none"/>
        </w:rPr>
      </w:pPr>
      <w:r>
        <w:rPr>
          <w:color w:val="auto"/>
          <w:highlight w:val="none"/>
        </w:rPr>
        <w:t>吸水管直接入沟的一级暗管排水工程，吸水管的出口位置宜高于沟道排水量设计值时的水位。当吸水管的出口水流为淹没流时，沟道内最高水位高出吸水管出口位置不应超过40cm</w:t>
      </w:r>
      <w:r>
        <w:rPr>
          <w:rFonts w:hint="eastAsia"/>
          <w:color w:val="auto"/>
          <w:highlight w:val="none"/>
          <w:lang w:val="en-US" w:eastAsia="zh-CN"/>
        </w:rPr>
        <w:t>且小于吸水管水头值</w:t>
      </w:r>
      <w:r>
        <w:rPr>
          <w:color w:val="auto"/>
          <w:highlight w:val="none"/>
        </w:rPr>
        <w:t>。</w:t>
      </w:r>
    </w:p>
    <w:p w14:paraId="5BACE190">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default"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6.7.3 二级暗管排水</w:t>
      </w:r>
    </w:p>
    <w:p w14:paraId="32E054A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color w:val="auto"/>
          <w:highlight w:val="none"/>
        </w:rPr>
      </w:pPr>
      <w:r>
        <w:rPr>
          <w:rFonts w:hint="eastAsia"/>
          <w:color w:val="auto"/>
          <w:highlight w:val="none"/>
        </w:rPr>
        <w:t>通过泵站强排的暗管排水系统的排水</w:t>
      </w:r>
      <w:r>
        <w:rPr>
          <w:rFonts w:hint="eastAsia"/>
          <w:color w:val="auto"/>
          <w:highlight w:val="none"/>
          <w:lang w:val="en-US" w:eastAsia="zh-CN"/>
        </w:rPr>
        <w:t>出口，</w:t>
      </w:r>
      <w:r>
        <w:rPr>
          <w:rFonts w:hint="eastAsia"/>
          <w:color w:val="auto"/>
          <w:highlight w:val="none"/>
        </w:rPr>
        <w:t>应保证出口处管道压力大于沟道排水高峰时的水头压力，设计中应根据具体情况进行必要的验算与比选。</w:t>
      </w:r>
    </w:p>
    <w:p w14:paraId="37ED38F4">
      <w:pPr>
        <w:pStyle w:val="71"/>
        <w:keepNext w:val="0"/>
        <w:keepLines w:val="0"/>
        <w:pageBreakBefore w:val="0"/>
        <w:widowControl/>
        <w:kinsoku/>
        <w:wordWrap/>
        <w:overflowPunct/>
        <w:topLinePunct w:val="0"/>
        <w:autoSpaceDE/>
        <w:autoSpaceDN/>
        <w:bidi w:val="0"/>
        <w:adjustRightInd/>
        <w:snapToGrid/>
        <w:textAlignment w:val="auto"/>
        <w:rPr>
          <w:rFonts w:hint="eastAsia"/>
          <w:color w:val="auto"/>
          <w:highlight w:val="none"/>
          <w:lang w:val="en-US" w:eastAsia="zh-CN"/>
        </w:rPr>
      </w:pPr>
      <w:r>
        <w:rPr>
          <w:rFonts w:hint="eastAsia"/>
          <w:color w:val="auto"/>
          <w:highlight w:val="none"/>
          <w:lang w:val="en-US" w:eastAsia="zh-CN"/>
        </w:rPr>
        <w:t>暗管材质</w:t>
      </w:r>
    </w:p>
    <w:p w14:paraId="5478CC8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6.8.1 基本要求</w:t>
      </w:r>
    </w:p>
    <w:p w14:paraId="2527E24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color w:val="auto"/>
          <w:highlight w:val="none"/>
        </w:rPr>
        <w:t>暗管排水系统所选管材外形、规格、尺寸、公差配额和技术性能指标必须符合国家现行标准的规定</w:t>
      </w:r>
      <w:r>
        <w:rPr>
          <w:rFonts w:hint="eastAsia"/>
          <w:color w:val="auto"/>
          <w:highlight w:val="none"/>
          <w:lang w:eastAsia="zh-CN"/>
        </w:rPr>
        <w:t>，</w:t>
      </w:r>
      <w:r>
        <w:rPr>
          <w:rFonts w:hint="eastAsia"/>
          <w:color w:val="auto"/>
          <w:highlight w:val="none"/>
        </w:rPr>
        <w:t>管材性能良好、施工方便、寿命较长、经济实用。</w:t>
      </w:r>
    </w:p>
    <w:p w14:paraId="6C30A06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rFonts w:hint="eastAsia"/>
          <w:color w:val="auto"/>
          <w:highlight w:val="none"/>
        </w:rPr>
      </w:pPr>
      <w:r>
        <w:rPr>
          <w:rFonts w:hint="eastAsia"/>
          <w:color w:val="auto"/>
          <w:highlight w:val="none"/>
        </w:rPr>
        <w:t>塑料波纹管材</w:t>
      </w:r>
      <w:r>
        <w:rPr>
          <w:rFonts w:hint="eastAsia"/>
          <w:color w:val="auto"/>
          <w:highlight w:val="none"/>
          <w:lang w:val="en-US" w:eastAsia="zh-CN"/>
        </w:rPr>
        <w:t>经</w:t>
      </w:r>
      <w:r>
        <w:rPr>
          <w:rFonts w:hint="eastAsia"/>
          <w:color w:val="auto"/>
          <w:highlight w:val="none"/>
        </w:rPr>
        <w:t>国家计量认证的质检机构抽验合格，符合</w:t>
      </w:r>
      <w:r>
        <w:rPr>
          <w:color w:val="auto"/>
          <w:highlight w:val="none"/>
        </w:rPr>
        <w:t>GB/T 19647</w:t>
      </w:r>
      <w:r>
        <w:rPr>
          <w:rFonts w:hint="eastAsia"/>
          <w:color w:val="auto"/>
          <w:highlight w:val="none"/>
        </w:rPr>
        <w:t>标准要求：（1）管材内外壁呈环形波纹状，不允许有气泡、裂口、分解变色线及明显杂质，管材两端应平整并与轴线垂直；（2）</w:t>
      </w:r>
      <w:r>
        <w:rPr>
          <w:color w:val="auto"/>
          <w:highlight w:val="none"/>
        </w:rPr>
        <w:t>管材可以是聚乙烯</w:t>
      </w:r>
      <w:r>
        <w:rPr>
          <w:rFonts w:hint="eastAsia"/>
          <w:color w:val="auto"/>
          <w:highlight w:val="none"/>
        </w:rPr>
        <w:t>（</w:t>
      </w:r>
      <w:r>
        <w:rPr>
          <w:color w:val="auto"/>
          <w:highlight w:val="none"/>
        </w:rPr>
        <w:t>PE</w:t>
      </w:r>
      <w:r>
        <w:rPr>
          <w:rFonts w:hint="eastAsia"/>
          <w:color w:val="auto"/>
          <w:highlight w:val="none"/>
        </w:rPr>
        <w:t>）</w:t>
      </w:r>
      <w:r>
        <w:rPr>
          <w:color w:val="auto"/>
          <w:highlight w:val="none"/>
        </w:rPr>
        <w:t>、改性聚丙烯</w:t>
      </w:r>
      <w:r>
        <w:rPr>
          <w:rFonts w:hint="eastAsia"/>
          <w:color w:val="auto"/>
          <w:highlight w:val="none"/>
        </w:rPr>
        <w:t>（</w:t>
      </w:r>
      <w:r>
        <w:rPr>
          <w:color w:val="auto"/>
          <w:highlight w:val="none"/>
        </w:rPr>
        <w:t>PP</w:t>
      </w:r>
      <w:r>
        <w:rPr>
          <w:rFonts w:hint="eastAsia"/>
          <w:color w:val="auto"/>
          <w:highlight w:val="none"/>
        </w:rPr>
        <w:t>）</w:t>
      </w:r>
      <w:r>
        <w:rPr>
          <w:color w:val="auto"/>
          <w:highlight w:val="none"/>
        </w:rPr>
        <w:t>树脂</w:t>
      </w:r>
      <w:r>
        <w:rPr>
          <w:rFonts w:hint="eastAsia"/>
          <w:color w:val="auto"/>
          <w:highlight w:val="none"/>
        </w:rPr>
        <w:t>、</w:t>
      </w:r>
      <w:r>
        <w:rPr>
          <w:color w:val="auto"/>
          <w:highlight w:val="none"/>
        </w:rPr>
        <w:t>聚氯乙烯</w:t>
      </w:r>
      <w:r>
        <w:rPr>
          <w:rFonts w:hint="eastAsia"/>
          <w:color w:val="auto"/>
          <w:highlight w:val="none"/>
        </w:rPr>
        <w:t>（</w:t>
      </w:r>
      <w:r>
        <w:rPr>
          <w:color w:val="auto"/>
          <w:highlight w:val="none"/>
        </w:rPr>
        <w:t>PV</w:t>
      </w:r>
      <w:r>
        <w:rPr>
          <w:rFonts w:hint="eastAsia"/>
          <w:color w:val="auto"/>
          <w:highlight w:val="none"/>
        </w:rPr>
        <w:t>C）</w:t>
      </w:r>
      <w:r>
        <w:rPr>
          <w:color w:val="auto"/>
          <w:highlight w:val="none"/>
        </w:rPr>
        <w:t>树脂</w:t>
      </w:r>
      <w:r>
        <w:rPr>
          <w:rFonts w:hint="eastAsia"/>
          <w:color w:val="auto"/>
          <w:highlight w:val="none"/>
        </w:rPr>
        <w:t>；（3）原材料不得掺杂回收废旧材料，使用年限不得低于</w:t>
      </w:r>
      <w:r>
        <w:rPr>
          <w:color w:val="auto"/>
          <w:highlight w:val="none"/>
        </w:rPr>
        <w:t>30</w:t>
      </w:r>
      <w:r>
        <w:rPr>
          <w:rFonts w:hint="eastAsia"/>
          <w:color w:val="auto"/>
          <w:highlight w:val="none"/>
        </w:rPr>
        <w:t>年；（4）管材规格尺寸和物理力学性能应符合</w:t>
      </w:r>
      <w:r>
        <w:rPr>
          <w:color w:val="auto"/>
          <w:highlight w:val="none"/>
        </w:rPr>
        <w:t>GB/T 19647</w:t>
      </w:r>
      <w:r>
        <w:rPr>
          <w:rFonts w:hint="eastAsia"/>
          <w:color w:val="auto"/>
          <w:highlight w:val="none"/>
        </w:rPr>
        <w:t>农田排水用塑料单壁波纹管技术标准，</w:t>
      </w:r>
      <w:r>
        <w:rPr>
          <w:rFonts w:hint="eastAsia"/>
          <w:color w:val="auto"/>
          <w:highlight w:val="none"/>
          <w:lang w:val="en-US" w:eastAsia="zh-CN"/>
        </w:rPr>
        <w:t>见</w:t>
      </w:r>
      <w:r>
        <w:rPr>
          <w:rFonts w:hint="eastAsia"/>
          <w:color w:val="auto"/>
          <w:highlight w:val="none"/>
        </w:rPr>
        <w:t>附录</w:t>
      </w:r>
      <w:r>
        <w:rPr>
          <w:rFonts w:hint="eastAsia"/>
          <w:color w:val="auto"/>
          <w:highlight w:val="none"/>
          <w:lang w:val="en-US" w:eastAsia="zh-CN"/>
        </w:rPr>
        <w:t>K</w:t>
      </w:r>
      <w:r>
        <w:rPr>
          <w:rFonts w:hint="eastAsia"/>
          <w:color w:val="auto"/>
          <w:highlight w:val="none"/>
        </w:rPr>
        <w:t>。</w:t>
      </w:r>
    </w:p>
    <w:p w14:paraId="0C1AFD4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default"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6.8.2 吸水管材</w:t>
      </w:r>
    </w:p>
    <w:p w14:paraId="0A5AA33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color w:val="auto"/>
          <w:highlight w:val="none"/>
        </w:rPr>
      </w:pPr>
      <w:r>
        <w:rPr>
          <w:color w:val="auto"/>
          <w:highlight w:val="none"/>
        </w:rPr>
        <w:t>管材进水孔外形为椭圆形或长方形状且孔边无明显毛边，进水孔直径或</w:t>
      </w:r>
      <w:r>
        <w:rPr>
          <w:rFonts w:hint="eastAsia"/>
          <w:color w:val="auto"/>
          <w:highlight w:val="none"/>
        </w:rPr>
        <w:t>较小轴线（宽度）的长度</w:t>
      </w:r>
      <w:r>
        <w:rPr>
          <w:color w:val="auto"/>
          <w:highlight w:val="none"/>
        </w:rPr>
        <w:t>应小于2mm。</w:t>
      </w:r>
    </w:p>
    <w:p w14:paraId="0B89062A">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color w:val="auto"/>
          <w:highlight w:val="none"/>
        </w:rPr>
      </w:pPr>
      <w:r>
        <w:rPr>
          <w:color w:val="auto"/>
          <w:highlight w:val="none"/>
        </w:rPr>
        <w:t>吸水管进水孔全圆周分布，进水孔应处于波谷底部，处于波峰的进水孔数应不大于进水口总数的5%，且同一圆周上进水孔的个数不少于3个。</w:t>
      </w:r>
    </w:p>
    <w:p w14:paraId="0937AA4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leftChars="0" w:firstLine="420" w:firstLineChars="200"/>
        <w:textAlignment w:val="auto"/>
        <w:rPr>
          <w:color w:val="auto"/>
          <w:highlight w:val="none"/>
        </w:rPr>
      </w:pPr>
      <w:r>
        <w:rPr>
          <w:rFonts w:hint="eastAsia"/>
          <w:color w:val="auto"/>
          <w:highlight w:val="none"/>
        </w:rPr>
        <w:t>吸水管管径为60mm时，</w:t>
      </w:r>
      <w:r>
        <w:rPr>
          <w:color w:val="auto"/>
          <w:highlight w:val="none"/>
        </w:rPr>
        <w:t>打孔波纹管的进水孔面积应不小于31cm</w:t>
      </w:r>
      <w:r>
        <w:rPr>
          <w:color w:val="auto"/>
          <w:highlight w:val="none"/>
          <w:vertAlign w:val="superscript"/>
        </w:rPr>
        <w:t>2</w:t>
      </w:r>
      <w:r>
        <w:rPr>
          <w:color w:val="auto"/>
          <w:highlight w:val="none"/>
        </w:rPr>
        <w:t>/m</w:t>
      </w:r>
      <w:r>
        <w:rPr>
          <w:rFonts w:hint="eastAsia"/>
          <w:color w:val="auto"/>
          <w:highlight w:val="none"/>
        </w:rPr>
        <w:t>，</w:t>
      </w:r>
      <w:r>
        <w:rPr>
          <w:color w:val="auto"/>
          <w:highlight w:val="none"/>
        </w:rPr>
        <w:t>鉴于我区暗管排水工程中吸水管以75mm</w:t>
      </w:r>
      <w:r>
        <w:rPr>
          <w:rFonts w:hint="eastAsia"/>
          <w:color w:val="auto"/>
          <w:highlight w:val="none"/>
        </w:rPr>
        <w:t>或80</w:t>
      </w:r>
      <w:r>
        <w:rPr>
          <w:color w:val="auto"/>
          <w:highlight w:val="none"/>
        </w:rPr>
        <w:t>mm管径居多，</w:t>
      </w:r>
      <w:r>
        <w:rPr>
          <w:rFonts w:hint="eastAsia"/>
          <w:color w:val="auto"/>
          <w:highlight w:val="none"/>
        </w:rPr>
        <w:t>上述两种管径的吸水管每延米进水孔面积</w:t>
      </w:r>
      <w:r>
        <w:rPr>
          <w:color w:val="auto"/>
          <w:highlight w:val="none"/>
        </w:rPr>
        <w:t>应不小于43cm</w:t>
      </w:r>
      <w:r>
        <w:rPr>
          <w:color w:val="auto"/>
          <w:highlight w:val="none"/>
          <w:vertAlign w:val="superscript"/>
        </w:rPr>
        <w:t>2</w:t>
      </w:r>
      <w:r>
        <w:rPr>
          <w:color w:val="auto"/>
          <w:highlight w:val="none"/>
        </w:rPr>
        <w:t>/m</w:t>
      </w:r>
      <w:r>
        <w:rPr>
          <w:rFonts w:hint="eastAsia"/>
          <w:color w:val="auto"/>
          <w:highlight w:val="none"/>
        </w:rPr>
        <w:t>。其他管径每延米的进水口面积参照表6.8-1选用。</w:t>
      </w:r>
    </w:p>
    <w:p w14:paraId="2A0E701B">
      <w:pPr>
        <w:pStyle w:val="99"/>
        <w:keepNext w:val="0"/>
        <w:keepLines w:val="0"/>
        <w:pageBreakBefore w:val="0"/>
        <w:widowControl/>
        <w:numPr>
          <w:ilvl w:val="0"/>
          <w:numId w:val="0"/>
        </w:numPr>
        <w:kinsoku/>
        <w:wordWrap/>
        <w:overflowPunct/>
        <w:topLinePunct w:val="0"/>
        <w:autoSpaceDE/>
        <w:autoSpaceDN/>
        <w:bidi w:val="0"/>
        <w:adjustRightInd/>
        <w:snapToGrid/>
        <w:spacing w:before="0" w:beforeLines="0" w:after="0" w:afterLines="0" w:line="240" w:lineRule="auto"/>
        <w:textAlignment w:val="auto"/>
        <w:rPr>
          <w:rFonts w:hint="eastAsia"/>
          <w:color w:val="auto"/>
          <w:sz w:val="18"/>
          <w:szCs w:val="18"/>
          <w:highlight w:val="none"/>
        </w:rPr>
      </w:pPr>
      <w:r>
        <w:rPr>
          <w:rFonts w:hint="eastAsia"/>
          <w:color w:val="auto"/>
          <w:sz w:val="18"/>
          <w:szCs w:val="18"/>
          <w:highlight w:val="none"/>
        </w:rPr>
        <w:t>表6.8-1 单位长度吸水管不同管径的进水孔面积（</w:t>
      </w:r>
      <w:r>
        <w:rPr>
          <w:color w:val="auto"/>
          <w:sz w:val="18"/>
          <w:szCs w:val="18"/>
          <w:highlight w:val="none"/>
        </w:rPr>
        <w:t>cm</w:t>
      </w:r>
      <w:r>
        <w:rPr>
          <w:color w:val="auto"/>
          <w:sz w:val="18"/>
          <w:szCs w:val="18"/>
          <w:highlight w:val="none"/>
          <w:vertAlign w:val="superscript"/>
        </w:rPr>
        <w:t>2</w:t>
      </w:r>
      <w:r>
        <w:rPr>
          <w:color w:val="auto"/>
          <w:sz w:val="18"/>
          <w:szCs w:val="18"/>
          <w:highlight w:val="none"/>
        </w:rPr>
        <w:t>/m</w:t>
      </w:r>
      <w:r>
        <w:rPr>
          <w:rFonts w:hint="eastAsia"/>
          <w:color w:val="auto"/>
          <w:sz w:val="18"/>
          <w:szCs w:val="18"/>
          <w:highlight w:val="none"/>
        </w:rPr>
        <w:t>）</w:t>
      </w:r>
    </w:p>
    <w:tbl>
      <w:tblPr>
        <w:tblStyle w:val="34"/>
        <w:tblW w:w="9562"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3402"/>
        <w:gridCol w:w="651"/>
        <w:gridCol w:w="651"/>
        <w:gridCol w:w="651"/>
        <w:gridCol w:w="651"/>
        <w:gridCol w:w="651"/>
        <w:gridCol w:w="651"/>
        <w:gridCol w:w="651"/>
        <w:gridCol w:w="801"/>
        <w:gridCol w:w="802"/>
      </w:tblGrid>
      <w:tr w14:paraId="12A23DC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tcBorders>
              <w:top w:val="single" w:color="auto" w:sz="8" w:space="0"/>
              <w:bottom w:val="single" w:color="auto" w:sz="8" w:space="0"/>
            </w:tcBorders>
            <w:vAlign w:val="top"/>
          </w:tcPr>
          <w:p w14:paraId="08466B55">
            <w:pPr>
              <w:pStyle w:val="25"/>
              <w:ind w:firstLine="0" w:firstLineChars="0"/>
              <w:jc w:val="center"/>
              <w:rPr>
                <w:rFonts w:hAnsi="宋体"/>
                <w:color w:val="auto"/>
                <w:sz w:val="18"/>
                <w:szCs w:val="18"/>
                <w:highlight w:val="none"/>
              </w:rPr>
            </w:pPr>
            <w:r>
              <w:rPr>
                <w:rFonts w:hint="eastAsia" w:hAnsi="宋体"/>
                <w:color w:val="auto"/>
                <w:sz w:val="18"/>
                <w:szCs w:val="18"/>
                <w:highlight w:val="none"/>
              </w:rPr>
              <w:t>吸水管管径（mm）</w:t>
            </w:r>
          </w:p>
        </w:tc>
        <w:tc>
          <w:tcPr>
            <w:tcW w:w="651" w:type="dxa"/>
            <w:tcBorders>
              <w:top w:val="single" w:color="auto" w:sz="8" w:space="0"/>
              <w:bottom w:val="single" w:color="auto" w:sz="8" w:space="0"/>
            </w:tcBorders>
            <w:vAlign w:val="top"/>
          </w:tcPr>
          <w:p w14:paraId="420399DE">
            <w:pPr>
              <w:pStyle w:val="25"/>
              <w:ind w:firstLine="0" w:firstLineChars="0"/>
              <w:jc w:val="center"/>
              <w:rPr>
                <w:rFonts w:hAnsi="宋体"/>
                <w:color w:val="auto"/>
                <w:sz w:val="18"/>
                <w:szCs w:val="18"/>
                <w:highlight w:val="none"/>
              </w:rPr>
            </w:pPr>
            <w:r>
              <w:rPr>
                <w:rFonts w:hint="eastAsia" w:hAnsi="宋体"/>
                <w:color w:val="auto"/>
                <w:sz w:val="18"/>
                <w:szCs w:val="18"/>
                <w:highlight w:val="none"/>
              </w:rPr>
              <w:t>60</w:t>
            </w:r>
          </w:p>
        </w:tc>
        <w:tc>
          <w:tcPr>
            <w:tcW w:w="651" w:type="dxa"/>
            <w:tcBorders>
              <w:top w:val="single" w:color="auto" w:sz="8" w:space="0"/>
              <w:bottom w:val="single" w:color="auto" w:sz="8" w:space="0"/>
            </w:tcBorders>
            <w:vAlign w:val="top"/>
          </w:tcPr>
          <w:p w14:paraId="71FBFE35">
            <w:pPr>
              <w:pStyle w:val="25"/>
              <w:ind w:firstLine="0" w:firstLineChars="0"/>
              <w:jc w:val="center"/>
              <w:rPr>
                <w:rFonts w:hAnsi="宋体"/>
                <w:color w:val="auto"/>
                <w:sz w:val="18"/>
                <w:szCs w:val="18"/>
                <w:highlight w:val="none"/>
              </w:rPr>
            </w:pPr>
            <w:r>
              <w:rPr>
                <w:rFonts w:hint="eastAsia" w:hAnsi="宋体"/>
                <w:color w:val="auto"/>
                <w:sz w:val="18"/>
                <w:szCs w:val="18"/>
                <w:highlight w:val="none"/>
              </w:rPr>
              <w:t>65</w:t>
            </w:r>
          </w:p>
        </w:tc>
        <w:tc>
          <w:tcPr>
            <w:tcW w:w="651" w:type="dxa"/>
            <w:tcBorders>
              <w:top w:val="single" w:color="auto" w:sz="8" w:space="0"/>
              <w:bottom w:val="single" w:color="auto" w:sz="8" w:space="0"/>
            </w:tcBorders>
            <w:vAlign w:val="top"/>
          </w:tcPr>
          <w:p w14:paraId="26560935">
            <w:pPr>
              <w:pStyle w:val="25"/>
              <w:ind w:firstLine="0" w:firstLineChars="0"/>
              <w:jc w:val="center"/>
              <w:rPr>
                <w:rFonts w:hAnsi="宋体"/>
                <w:color w:val="auto"/>
                <w:sz w:val="18"/>
                <w:szCs w:val="18"/>
                <w:highlight w:val="none"/>
              </w:rPr>
            </w:pPr>
            <w:r>
              <w:rPr>
                <w:rFonts w:hint="eastAsia" w:hAnsi="宋体"/>
                <w:color w:val="auto"/>
                <w:sz w:val="18"/>
                <w:szCs w:val="18"/>
                <w:highlight w:val="none"/>
              </w:rPr>
              <w:t>70</w:t>
            </w:r>
          </w:p>
        </w:tc>
        <w:tc>
          <w:tcPr>
            <w:tcW w:w="651" w:type="dxa"/>
            <w:tcBorders>
              <w:top w:val="single" w:color="auto" w:sz="8" w:space="0"/>
              <w:bottom w:val="single" w:color="auto" w:sz="8" w:space="0"/>
            </w:tcBorders>
            <w:vAlign w:val="top"/>
          </w:tcPr>
          <w:p w14:paraId="1BEEB951">
            <w:pPr>
              <w:pStyle w:val="25"/>
              <w:ind w:firstLine="0" w:firstLineChars="0"/>
              <w:jc w:val="center"/>
              <w:rPr>
                <w:rFonts w:hAnsi="宋体"/>
                <w:color w:val="auto"/>
                <w:sz w:val="18"/>
                <w:szCs w:val="18"/>
                <w:highlight w:val="none"/>
              </w:rPr>
            </w:pPr>
            <w:r>
              <w:rPr>
                <w:rFonts w:hint="eastAsia" w:hAnsi="宋体"/>
                <w:color w:val="auto"/>
                <w:sz w:val="18"/>
                <w:szCs w:val="18"/>
                <w:highlight w:val="none"/>
              </w:rPr>
              <w:t>75</w:t>
            </w:r>
          </w:p>
        </w:tc>
        <w:tc>
          <w:tcPr>
            <w:tcW w:w="651" w:type="dxa"/>
            <w:tcBorders>
              <w:top w:val="single" w:color="auto" w:sz="8" w:space="0"/>
              <w:bottom w:val="single" w:color="auto" w:sz="8" w:space="0"/>
            </w:tcBorders>
            <w:vAlign w:val="top"/>
          </w:tcPr>
          <w:p w14:paraId="408BD6B3">
            <w:pPr>
              <w:pStyle w:val="25"/>
              <w:ind w:firstLine="0" w:firstLineChars="0"/>
              <w:jc w:val="center"/>
              <w:rPr>
                <w:rFonts w:hAnsi="宋体"/>
                <w:color w:val="auto"/>
                <w:sz w:val="18"/>
                <w:szCs w:val="18"/>
                <w:highlight w:val="none"/>
              </w:rPr>
            </w:pPr>
            <w:r>
              <w:rPr>
                <w:rFonts w:hint="eastAsia" w:hAnsi="宋体"/>
                <w:color w:val="auto"/>
                <w:sz w:val="18"/>
                <w:szCs w:val="18"/>
                <w:highlight w:val="none"/>
              </w:rPr>
              <w:t>80</w:t>
            </w:r>
          </w:p>
        </w:tc>
        <w:tc>
          <w:tcPr>
            <w:tcW w:w="651" w:type="dxa"/>
            <w:tcBorders>
              <w:top w:val="single" w:color="auto" w:sz="8" w:space="0"/>
              <w:bottom w:val="single" w:color="auto" w:sz="8" w:space="0"/>
            </w:tcBorders>
            <w:vAlign w:val="top"/>
          </w:tcPr>
          <w:p w14:paraId="373845C9">
            <w:pPr>
              <w:pStyle w:val="25"/>
              <w:ind w:firstLine="0" w:firstLineChars="0"/>
              <w:jc w:val="center"/>
              <w:rPr>
                <w:rFonts w:hAnsi="宋体"/>
                <w:color w:val="auto"/>
                <w:sz w:val="18"/>
                <w:szCs w:val="18"/>
                <w:highlight w:val="none"/>
              </w:rPr>
            </w:pPr>
            <w:r>
              <w:rPr>
                <w:rFonts w:hint="eastAsia" w:hAnsi="宋体"/>
                <w:color w:val="auto"/>
                <w:sz w:val="18"/>
                <w:szCs w:val="18"/>
                <w:highlight w:val="none"/>
              </w:rPr>
              <w:t>85</w:t>
            </w:r>
          </w:p>
        </w:tc>
        <w:tc>
          <w:tcPr>
            <w:tcW w:w="651" w:type="dxa"/>
            <w:tcBorders>
              <w:top w:val="single" w:color="auto" w:sz="8" w:space="0"/>
              <w:bottom w:val="single" w:color="auto" w:sz="8" w:space="0"/>
            </w:tcBorders>
            <w:vAlign w:val="top"/>
          </w:tcPr>
          <w:p w14:paraId="5E3ED3F7">
            <w:pPr>
              <w:pStyle w:val="25"/>
              <w:ind w:firstLine="0" w:firstLineChars="0"/>
              <w:jc w:val="center"/>
              <w:rPr>
                <w:rFonts w:hAnsi="宋体"/>
                <w:color w:val="auto"/>
                <w:sz w:val="18"/>
                <w:szCs w:val="18"/>
                <w:highlight w:val="none"/>
              </w:rPr>
            </w:pPr>
            <w:r>
              <w:rPr>
                <w:rFonts w:hint="eastAsia" w:hAnsi="宋体"/>
                <w:color w:val="auto"/>
                <w:sz w:val="18"/>
                <w:szCs w:val="18"/>
                <w:highlight w:val="none"/>
              </w:rPr>
              <w:t>90</w:t>
            </w:r>
          </w:p>
        </w:tc>
        <w:tc>
          <w:tcPr>
            <w:tcW w:w="801" w:type="dxa"/>
            <w:tcBorders>
              <w:top w:val="single" w:color="auto" w:sz="8" w:space="0"/>
              <w:bottom w:val="single" w:color="auto" w:sz="8" w:space="0"/>
            </w:tcBorders>
            <w:vAlign w:val="top"/>
          </w:tcPr>
          <w:p w14:paraId="696A0783">
            <w:pPr>
              <w:pStyle w:val="25"/>
              <w:ind w:firstLine="0" w:firstLineChars="0"/>
              <w:jc w:val="center"/>
              <w:rPr>
                <w:rFonts w:hAnsi="宋体"/>
                <w:color w:val="auto"/>
                <w:sz w:val="18"/>
                <w:szCs w:val="18"/>
                <w:highlight w:val="none"/>
              </w:rPr>
            </w:pPr>
            <w:r>
              <w:rPr>
                <w:rFonts w:hint="eastAsia" w:hAnsi="宋体"/>
                <w:color w:val="auto"/>
                <w:sz w:val="18"/>
                <w:szCs w:val="18"/>
                <w:highlight w:val="none"/>
              </w:rPr>
              <w:t>100</w:t>
            </w:r>
          </w:p>
        </w:tc>
        <w:tc>
          <w:tcPr>
            <w:tcW w:w="802" w:type="dxa"/>
            <w:tcBorders>
              <w:top w:val="single" w:color="auto" w:sz="8" w:space="0"/>
              <w:bottom w:val="single" w:color="auto" w:sz="8" w:space="0"/>
            </w:tcBorders>
            <w:vAlign w:val="top"/>
          </w:tcPr>
          <w:p w14:paraId="58289E10">
            <w:pPr>
              <w:pStyle w:val="25"/>
              <w:ind w:firstLine="0" w:firstLineChars="0"/>
              <w:jc w:val="center"/>
              <w:rPr>
                <w:rFonts w:hAnsi="宋体"/>
                <w:color w:val="auto"/>
                <w:sz w:val="18"/>
                <w:szCs w:val="18"/>
                <w:highlight w:val="none"/>
              </w:rPr>
            </w:pPr>
            <w:r>
              <w:rPr>
                <w:rFonts w:hint="eastAsia" w:hAnsi="宋体"/>
                <w:color w:val="auto"/>
                <w:sz w:val="18"/>
                <w:szCs w:val="18"/>
                <w:highlight w:val="none"/>
              </w:rPr>
              <w:t>110</w:t>
            </w:r>
          </w:p>
        </w:tc>
      </w:tr>
      <w:tr w14:paraId="58CA1B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3402" w:type="dxa"/>
            <w:tcBorders>
              <w:top w:val="single" w:color="auto" w:sz="8" w:space="0"/>
            </w:tcBorders>
            <w:vAlign w:val="top"/>
          </w:tcPr>
          <w:p w14:paraId="523395C3">
            <w:pPr>
              <w:pStyle w:val="25"/>
              <w:ind w:firstLine="0" w:firstLineChars="0"/>
              <w:jc w:val="center"/>
              <w:rPr>
                <w:rFonts w:hAnsi="宋体"/>
                <w:color w:val="auto"/>
                <w:sz w:val="18"/>
                <w:szCs w:val="18"/>
                <w:highlight w:val="none"/>
              </w:rPr>
            </w:pPr>
            <w:r>
              <w:rPr>
                <w:rFonts w:hint="eastAsia" w:hAnsi="宋体"/>
                <w:color w:val="auto"/>
                <w:sz w:val="18"/>
                <w:szCs w:val="18"/>
                <w:highlight w:val="none"/>
              </w:rPr>
              <w:t>每延米进水孔面积</w:t>
            </w:r>
            <w:r>
              <w:rPr>
                <w:rFonts w:hAnsi="宋体"/>
                <w:color w:val="auto"/>
                <w:sz w:val="18"/>
                <w:szCs w:val="18"/>
                <w:highlight w:val="none"/>
              </w:rPr>
              <w:t>cm</w:t>
            </w:r>
            <w:r>
              <w:rPr>
                <w:rFonts w:hAnsi="宋体"/>
                <w:color w:val="auto"/>
                <w:sz w:val="18"/>
                <w:szCs w:val="18"/>
                <w:highlight w:val="none"/>
                <w:vertAlign w:val="superscript"/>
              </w:rPr>
              <w:t>2</w:t>
            </w:r>
            <w:r>
              <w:rPr>
                <w:rFonts w:hAnsi="宋体"/>
                <w:color w:val="auto"/>
                <w:sz w:val="18"/>
                <w:szCs w:val="18"/>
                <w:highlight w:val="none"/>
              </w:rPr>
              <w:t>/m</w:t>
            </w:r>
          </w:p>
        </w:tc>
        <w:tc>
          <w:tcPr>
            <w:tcW w:w="651" w:type="dxa"/>
            <w:tcBorders>
              <w:top w:val="single" w:color="auto" w:sz="8" w:space="0"/>
            </w:tcBorders>
            <w:vAlign w:val="top"/>
          </w:tcPr>
          <w:p w14:paraId="69FF8388">
            <w:pPr>
              <w:pStyle w:val="25"/>
              <w:ind w:firstLine="0" w:firstLineChars="0"/>
              <w:jc w:val="center"/>
              <w:rPr>
                <w:rFonts w:hint="eastAsia" w:hAnsi="宋体"/>
                <w:color w:val="auto"/>
                <w:sz w:val="18"/>
                <w:szCs w:val="18"/>
                <w:highlight w:val="none"/>
              </w:rPr>
            </w:pPr>
            <w:r>
              <w:rPr>
                <w:rFonts w:hint="eastAsia" w:hAnsi="宋体"/>
                <w:color w:val="auto"/>
                <w:sz w:val="18"/>
                <w:szCs w:val="18"/>
                <w:highlight w:val="none"/>
              </w:rPr>
              <w:t>31</w:t>
            </w:r>
          </w:p>
        </w:tc>
        <w:tc>
          <w:tcPr>
            <w:tcW w:w="651" w:type="dxa"/>
            <w:tcBorders>
              <w:top w:val="single" w:color="auto" w:sz="8" w:space="0"/>
            </w:tcBorders>
            <w:vAlign w:val="top"/>
          </w:tcPr>
          <w:p w14:paraId="3E5F974A">
            <w:pPr>
              <w:pStyle w:val="25"/>
              <w:ind w:firstLine="0" w:firstLineChars="0"/>
              <w:jc w:val="center"/>
              <w:rPr>
                <w:rFonts w:hint="eastAsia" w:hAnsi="宋体"/>
                <w:color w:val="auto"/>
                <w:sz w:val="18"/>
                <w:szCs w:val="18"/>
                <w:highlight w:val="none"/>
              </w:rPr>
            </w:pPr>
            <w:r>
              <w:rPr>
                <w:rFonts w:hint="eastAsia" w:hAnsi="宋体"/>
                <w:color w:val="auto"/>
                <w:sz w:val="18"/>
                <w:szCs w:val="18"/>
                <w:highlight w:val="none"/>
              </w:rPr>
              <w:t>35</w:t>
            </w:r>
          </w:p>
        </w:tc>
        <w:tc>
          <w:tcPr>
            <w:tcW w:w="651" w:type="dxa"/>
            <w:tcBorders>
              <w:top w:val="single" w:color="auto" w:sz="8" w:space="0"/>
            </w:tcBorders>
            <w:vAlign w:val="top"/>
          </w:tcPr>
          <w:p w14:paraId="13DECC02">
            <w:pPr>
              <w:pStyle w:val="25"/>
              <w:ind w:firstLine="0" w:firstLineChars="0"/>
              <w:jc w:val="center"/>
              <w:rPr>
                <w:rFonts w:hint="eastAsia" w:hAnsi="宋体"/>
                <w:color w:val="auto"/>
                <w:sz w:val="18"/>
                <w:szCs w:val="18"/>
                <w:highlight w:val="none"/>
              </w:rPr>
            </w:pPr>
            <w:r>
              <w:rPr>
                <w:rFonts w:hint="eastAsia" w:hAnsi="宋体"/>
                <w:color w:val="auto"/>
                <w:sz w:val="18"/>
                <w:szCs w:val="18"/>
                <w:highlight w:val="none"/>
              </w:rPr>
              <w:t>39</w:t>
            </w:r>
          </w:p>
        </w:tc>
        <w:tc>
          <w:tcPr>
            <w:tcW w:w="651" w:type="dxa"/>
            <w:tcBorders>
              <w:top w:val="single" w:color="auto" w:sz="8" w:space="0"/>
            </w:tcBorders>
            <w:vAlign w:val="top"/>
          </w:tcPr>
          <w:p w14:paraId="157FD039">
            <w:pPr>
              <w:pStyle w:val="25"/>
              <w:ind w:firstLine="0" w:firstLineChars="0"/>
              <w:jc w:val="center"/>
              <w:rPr>
                <w:rFonts w:hint="eastAsia" w:hAnsi="宋体"/>
                <w:color w:val="auto"/>
                <w:sz w:val="18"/>
                <w:szCs w:val="18"/>
                <w:highlight w:val="none"/>
              </w:rPr>
            </w:pPr>
            <w:r>
              <w:rPr>
                <w:rFonts w:hint="eastAsia" w:hAnsi="宋体"/>
                <w:color w:val="auto"/>
                <w:sz w:val="18"/>
                <w:szCs w:val="18"/>
                <w:highlight w:val="none"/>
              </w:rPr>
              <w:t>43</w:t>
            </w:r>
          </w:p>
        </w:tc>
        <w:tc>
          <w:tcPr>
            <w:tcW w:w="651" w:type="dxa"/>
            <w:tcBorders>
              <w:top w:val="single" w:color="auto" w:sz="8" w:space="0"/>
            </w:tcBorders>
            <w:vAlign w:val="top"/>
          </w:tcPr>
          <w:p w14:paraId="1159D476">
            <w:pPr>
              <w:pStyle w:val="25"/>
              <w:ind w:firstLine="0" w:firstLineChars="0"/>
              <w:jc w:val="center"/>
              <w:rPr>
                <w:rFonts w:hint="eastAsia" w:hAnsi="宋体"/>
                <w:color w:val="auto"/>
                <w:sz w:val="18"/>
                <w:szCs w:val="18"/>
                <w:highlight w:val="none"/>
              </w:rPr>
            </w:pPr>
            <w:r>
              <w:rPr>
                <w:rFonts w:hint="eastAsia" w:hAnsi="宋体"/>
                <w:color w:val="auto"/>
                <w:sz w:val="18"/>
                <w:szCs w:val="18"/>
                <w:highlight w:val="none"/>
              </w:rPr>
              <w:t>47</w:t>
            </w:r>
          </w:p>
        </w:tc>
        <w:tc>
          <w:tcPr>
            <w:tcW w:w="651" w:type="dxa"/>
            <w:tcBorders>
              <w:top w:val="single" w:color="auto" w:sz="8" w:space="0"/>
            </w:tcBorders>
            <w:vAlign w:val="top"/>
          </w:tcPr>
          <w:p w14:paraId="6BBCD1B5">
            <w:pPr>
              <w:pStyle w:val="25"/>
              <w:ind w:firstLine="0" w:firstLineChars="0"/>
              <w:jc w:val="center"/>
              <w:rPr>
                <w:rFonts w:hint="eastAsia" w:hAnsi="宋体"/>
                <w:color w:val="auto"/>
                <w:sz w:val="18"/>
                <w:szCs w:val="18"/>
                <w:highlight w:val="none"/>
              </w:rPr>
            </w:pPr>
            <w:r>
              <w:rPr>
                <w:rFonts w:hint="eastAsia" w:hAnsi="宋体"/>
                <w:color w:val="auto"/>
                <w:sz w:val="18"/>
                <w:szCs w:val="18"/>
                <w:highlight w:val="none"/>
              </w:rPr>
              <w:t>52</w:t>
            </w:r>
          </w:p>
        </w:tc>
        <w:tc>
          <w:tcPr>
            <w:tcW w:w="651" w:type="dxa"/>
            <w:tcBorders>
              <w:top w:val="single" w:color="auto" w:sz="8" w:space="0"/>
            </w:tcBorders>
            <w:vAlign w:val="top"/>
          </w:tcPr>
          <w:p w14:paraId="29169296">
            <w:pPr>
              <w:pStyle w:val="25"/>
              <w:ind w:firstLine="0" w:firstLineChars="0"/>
              <w:jc w:val="center"/>
              <w:rPr>
                <w:rFonts w:hint="eastAsia" w:hAnsi="宋体"/>
                <w:color w:val="auto"/>
                <w:sz w:val="18"/>
                <w:szCs w:val="18"/>
                <w:highlight w:val="none"/>
              </w:rPr>
            </w:pPr>
            <w:r>
              <w:rPr>
                <w:rFonts w:hint="eastAsia" w:hAnsi="宋体"/>
                <w:color w:val="auto"/>
                <w:sz w:val="18"/>
                <w:szCs w:val="18"/>
                <w:highlight w:val="none"/>
              </w:rPr>
              <w:t>56</w:t>
            </w:r>
          </w:p>
        </w:tc>
        <w:tc>
          <w:tcPr>
            <w:tcW w:w="801" w:type="dxa"/>
            <w:tcBorders>
              <w:top w:val="single" w:color="auto" w:sz="8" w:space="0"/>
            </w:tcBorders>
            <w:vAlign w:val="top"/>
          </w:tcPr>
          <w:p w14:paraId="1AE420B7">
            <w:pPr>
              <w:pStyle w:val="25"/>
              <w:ind w:firstLine="0" w:firstLineChars="0"/>
              <w:jc w:val="center"/>
              <w:rPr>
                <w:rFonts w:hint="eastAsia" w:hAnsi="宋体"/>
                <w:color w:val="auto"/>
                <w:sz w:val="18"/>
                <w:szCs w:val="18"/>
                <w:highlight w:val="none"/>
              </w:rPr>
            </w:pPr>
            <w:r>
              <w:rPr>
                <w:rFonts w:hint="eastAsia" w:hAnsi="宋体"/>
                <w:color w:val="auto"/>
                <w:sz w:val="18"/>
                <w:szCs w:val="18"/>
                <w:highlight w:val="none"/>
              </w:rPr>
              <w:t>64</w:t>
            </w:r>
          </w:p>
        </w:tc>
        <w:tc>
          <w:tcPr>
            <w:tcW w:w="802" w:type="dxa"/>
            <w:tcBorders>
              <w:top w:val="single" w:color="auto" w:sz="8" w:space="0"/>
            </w:tcBorders>
            <w:vAlign w:val="top"/>
          </w:tcPr>
          <w:p w14:paraId="5A03F012">
            <w:pPr>
              <w:pStyle w:val="25"/>
              <w:ind w:firstLine="0" w:firstLineChars="0"/>
              <w:jc w:val="center"/>
              <w:rPr>
                <w:rFonts w:hint="eastAsia" w:hAnsi="宋体"/>
                <w:color w:val="auto"/>
                <w:sz w:val="18"/>
                <w:szCs w:val="18"/>
                <w:highlight w:val="none"/>
              </w:rPr>
            </w:pPr>
            <w:r>
              <w:rPr>
                <w:rFonts w:hint="eastAsia" w:hAnsi="宋体"/>
                <w:color w:val="auto"/>
                <w:sz w:val="18"/>
                <w:szCs w:val="18"/>
                <w:highlight w:val="none"/>
              </w:rPr>
              <w:t>72</w:t>
            </w:r>
          </w:p>
        </w:tc>
      </w:tr>
    </w:tbl>
    <w:p w14:paraId="434430E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6.8.3 集水管材</w:t>
      </w:r>
    </w:p>
    <w:p w14:paraId="3A97AE3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eastAsia="宋体"/>
          <w:color w:val="auto"/>
          <w:sz w:val="21"/>
          <w:szCs w:val="21"/>
          <w:highlight w:val="none"/>
          <w:lang w:val="en-US" w:eastAsia="zh-CN"/>
        </w:rPr>
      </w:pPr>
      <w:r>
        <w:rPr>
          <w:rFonts w:hint="eastAsia"/>
          <w:color w:val="auto"/>
          <w:sz w:val="21"/>
          <w:szCs w:val="21"/>
          <w:highlight w:val="none"/>
          <w:lang w:val="en-US" w:eastAsia="zh-CN"/>
        </w:rPr>
        <w:t>集水管材</w:t>
      </w:r>
      <w:r>
        <w:rPr>
          <w:rFonts w:hint="eastAsia"/>
          <w:color w:val="auto"/>
          <w:sz w:val="21"/>
          <w:szCs w:val="21"/>
          <w:highlight w:val="none"/>
        </w:rPr>
        <w:t>建议选</w:t>
      </w:r>
      <w:r>
        <w:rPr>
          <w:rFonts w:hint="eastAsia" w:cs="宋体"/>
          <w:color w:val="auto"/>
          <w:sz w:val="21"/>
          <w:szCs w:val="21"/>
          <w:highlight w:val="none"/>
        </w:rPr>
        <w:t>用便于机械化施工的轻型、柔性管材的新型材料</w:t>
      </w:r>
      <w:r>
        <w:rPr>
          <w:rFonts w:hint="eastAsia" w:ascii="Times New Roman"/>
          <w:color w:val="auto"/>
          <w:sz w:val="21"/>
          <w:szCs w:val="21"/>
          <w:highlight w:val="none"/>
        </w:rPr>
        <w:t>，大口径集水管可采用</w:t>
      </w:r>
      <w:r>
        <w:rPr>
          <w:rFonts w:hint="eastAsia" w:ascii="宋体" w:hAnsi="宋体" w:eastAsia="宋体" w:cs="宋体"/>
          <w:color w:val="auto"/>
          <w:sz w:val="21"/>
          <w:szCs w:val="21"/>
          <w:highlight w:val="none"/>
        </w:rPr>
        <w:t>PVC</w:t>
      </w:r>
      <w:r>
        <w:rPr>
          <w:rFonts w:hint="eastAsia" w:ascii="Times New Roman"/>
          <w:color w:val="auto"/>
          <w:sz w:val="21"/>
          <w:szCs w:val="21"/>
          <w:highlight w:val="none"/>
        </w:rPr>
        <w:t>管。</w:t>
      </w:r>
      <w:r>
        <w:rPr>
          <w:rFonts w:hint="eastAsia" w:ascii="Times New Roman"/>
          <w:color w:val="auto"/>
          <w:sz w:val="21"/>
          <w:szCs w:val="21"/>
          <w:highlight w:val="none"/>
          <w:lang w:val="en-US" w:eastAsia="zh-CN"/>
        </w:rPr>
        <w:t>尤其是</w:t>
      </w:r>
      <w:r>
        <w:rPr>
          <w:color w:val="auto"/>
          <w:sz w:val="21"/>
          <w:szCs w:val="21"/>
          <w:highlight w:val="none"/>
        </w:rPr>
        <w:t>在松软土层内宜采用整体性能良好的轻型、柔性管材。</w:t>
      </w:r>
    </w:p>
    <w:p w14:paraId="777C49C5">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color w:val="auto"/>
          <w:sz w:val="21"/>
          <w:szCs w:val="21"/>
          <w:highlight w:val="none"/>
        </w:rPr>
      </w:pPr>
      <w:r>
        <w:rPr>
          <w:color w:val="auto"/>
          <w:sz w:val="21"/>
          <w:szCs w:val="21"/>
          <w:highlight w:val="none"/>
        </w:rPr>
        <w:t>刚性管自然衔接的缝隙不应超过3mm</w:t>
      </w:r>
      <w:r>
        <w:rPr>
          <w:rFonts w:hint="eastAsia"/>
          <w:color w:val="auto"/>
          <w:sz w:val="21"/>
          <w:szCs w:val="21"/>
          <w:highlight w:val="none"/>
          <w:lang w:eastAsia="zh-CN"/>
        </w:rPr>
        <w:t>，</w:t>
      </w:r>
      <w:r>
        <w:rPr>
          <w:color w:val="auto"/>
          <w:sz w:val="21"/>
          <w:szCs w:val="21"/>
          <w:highlight w:val="none"/>
        </w:rPr>
        <w:t>机械铺设刚性管的节长</w:t>
      </w:r>
      <w:r>
        <w:rPr>
          <w:rFonts w:hint="eastAsia"/>
          <w:color w:val="auto"/>
          <w:sz w:val="21"/>
          <w:szCs w:val="21"/>
          <w:highlight w:val="none"/>
          <w:lang w:val="en-US" w:eastAsia="zh-CN"/>
        </w:rPr>
        <w:t>不</w:t>
      </w:r>
      <w:r>
        <w:rPr>
          <w:color w:val="auto"/>
          <w:sz w:val="21"/>
          <w:szCs w:val="21"/>
          <w:highlight w:val="none"/>
        </w:rPr>
        <w:t>宜</w:t>
      </w:r>
      <w:r>
        <w:rPr>
          <w:rFonts w:hint="eastAsia"/>
          <w:color w:val="auto"/>
          <w:sz w:val="21"/>
          <w:szCs w:val="21"/>
          <w:highlight w:val="none"/>
          <w:lang w:val="en-US" w:eastAsia="zh-CN"/>
        </w:rPr>
        <w:t>大于管道设计的沉降缝长度</w:t>
      </w:r>
      <w:r>
        <w:rPr>
          <w:color w:val="auto"/>
          <w:sz w:val="21"/>
          <w:szCs w:val="21"/>
          <w:highlight w:val="none"/>
        </w:rPr>
        <w:t>，接口宜为承插式或其他套结形式</w:t>
      </w:r>
      <w:r>
        <w:rPr>
          <w:rFonts w:hint="eastAsia"/>
          <w:color w:val="auto"/>
          <w:sz w:val="21"/>
          <w:szCs w:val="21"/>
          <w:highlight w:val="none"/>
          <w:lang w:eastAsia="zh-CN"/>
        </w:rPr>
        <w:t>。</w:t>
      </w:r>
    </w:p>
    <w:p w14:paraId="697D424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default"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6.8.4 新型轻质材料</w:t>
      </w:r>
    </w:p>
    <w:p w14:paraId="59CD6E75">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rFonts w:hint="default" w:cs="Times New Roman"/>
          <w:color w:val="auto"/>
          <w:sz w:val="21"/>
          <w:szCs w:val="21"/>
          <w:highlight w:val="none"/>
          <w:lang w:val="en-US" w:eastAsia="zh-CN"/>
        </w:rPr>
      </w:pPr>
      <w:r>
        <w:rPr>
          <w:rFonts w:hint="eastAsia" w:cs="Times New Roman"/>
          <w:color w:val="auto"/>
          <w:sz w:val="21"/>
          <w:szCs w:val="21"/>
          <w:highlight w:val="none"/>
          <w:lang w:val="en-US" w:eastAsia="zh-CN"/>
        </w:rPr>
        <w:t>新型轻质管材的选用应符合国家、行业颁布的相关规定。</w:t>
      </w:r>
    </w:p>
    <w:p w14:paraId="46B44A97">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val="en-US" w:eastAsia="zh-CN"/>
        </w:rPr>
        <w:t>采用与微灌技术相配套的新型轻质材料制作的装配式排水暗管连接井或检查井时，除满足上述检查井的基本要求外，其适宜条件与要求可参照相关规定进行设计。</w:t>
      </w:r>
    </w:p>
    <w:p w14:paraId="65B72903">
      <w:pPr>
        <w:pStyle w:val="71"/>
        <w:keepNext w:val="0"/>
        <w:keepLines w:val="0"/>
        <w:pageBreakBefore w:val="0"/>
        <w:widowControl/>
        <w:kinsoku/>
        <w:wordWrap/>
        <w:overflowPunct/>
        <w:topLinePunct w:val="0"/>
        <w:autoSpaceDE/>
        <w:autoSpaceDN/>
        <w:bidi w:val="0"/>
        <w:adjustRightInd/>
        <w:snapToGrid/>
        <w:textAlignment w:val="auto"/>
        <w:rPr>
          <w:rFonts w:hint="eastAsia"/>
          <w:color w:val="auto"/>
          <w:highlight w:val="none"/>
          <w:lang w:val="en-US" w:eastAsia="zh-CN"/>
        </w:rPr>
      </w:pPr>
      <w:bookmarkStart w:id="305" w:name="_Toc166"/>
      <w:bookmarkStart w:id="306" w:name="_Toc520823476"/>
      <w:bookmarkStart w:id="307" w:name="_Toc17543"/>
      <w:bookmarkStart w:id="308" w:name="_Toc17615"/>
      <w:bookmarkStart w:id="309" w:name="_Toc522140504"/>
      <w:bookmarkStart w:id="310" w:name="_Toc299889774"/>
      <w:bookmarkStart w:id="311" w:name="_Toc31095"/>
      <w:bookmarkStart w:id="312" w:name="_Toc16860"/>
      <w:bookmarkStart w:id="313" w:name="_Toc24492"/>
      <w:bookmarkStart w:id="314" w:name="_Toc520709307"/>
      <w:r>
        <w:rPr>
          <w:rFonts w:hint="eastAsia"/>
          <w:color w:val="auto"/>
          <w:highlight w:val="none"/>
          <w:lang w:val="en-US" w:eastAsia="zh-CN"/>
        </w:rPr>
        <w:t>集水井与泵站</w:t>
      </w:r>
      <w:bookmarkEnd w:id="305"/>
      <w:bookmarkEnd w:id="306"/>
      <w:bookmarkEnd w:id="307"/>
      <w:bookmarkEnd w:id="308"/>
      <w:bookmarkEnd w:id="309"/>
      <w:bookmarkEnd w:id="310"/>
      <w:bookmarkEnd w:id="311"/>
      <w:bookmarkEnd w:id="312"/>
      <w:bookmarkEnd w:id="313"/>
      <w:bookmarkEnd w:id="314"/>
    </w:p>
    <w:p w14:paraId="3A734F53">
      <w:pPr>
        <w:pStyle w:val="117"/>
        <w:keepNext w:val="0"/>
        <w:keepLines w:val="0"/>
        <w:pageBreakBefore w:val="0"/>
        <w:widowControl/>
        <w:numPr>
          <w:ilvl w:val="0"/>
          <w:numId w:val="0"/>
        </w:numPr>
        <w:kinsoku/>
        <w:wordWrap/>
        <w:overflowPunct/>
        <w:topLinePunct w:val="0"/>
        <w:autoSpaceDE/>
        <w:autoSpaceDN/>
        <w:bidi w:val="0"/>
        <w:spacing w:line="240" w:lineRule="auto"/>
        <w:textAlignment w:val="auto"/>
        <w:rPr>
          <w:color w:val="auto"/>
          <w:highlight w:val="none"/>
        </w:rPr>
      </w:pPr>
      <w:r>
        <w:rPr>
          <w:rFonts w:hint="eastAsia" w:ascii="黑体" w:hAnsi="黑体" w:eastAsia="黑体" w:cs="黑体"/>
          <w:color w:val="auto"/>
          <w:highlight w:val="none"/>
          <w:lang w:val="en-US" w:eastAsia="zh-CN"/>
        </w:rPr>
        <w:t>6.9.1 抽排</w:t>
      </w:r>
      <w:r>
        <w:rPr>
          <w:rFonts w:hint="eastAsia" w:ascii="黑体" w:hAnsi="黑体" w:eastAsia="黑体" w:cs="黑体"/>
          <w:color w:val="auto"/>
          <w:highlight w:val="none"/>
        </w:rPr>
        <w:t>方式</w:t>
      </w:r>
    </w:p>
    <w:p w14:paraId="77E8968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暗管排水采用分地块单独强排时，</w:t>
      </w:r>
      <w:r>
        <w:rPr>
          <w:color w:val="auto"/>
          <w:highlight w:val="none"/>
        </w:rPr>
        <w:t>应根据汇流水量和扬程选择水泵，按运用灵活和管理方便等要求设计</w:t>
      </w:r>
      <w:r>
        <w:rPr>
          <w:rFonts w:hint="eastAsia"/>
          <w:color w:val="auto"/>
          <w:highlight w:val="none"/>
        </w:rPr>
        <w:t>暗管排水工程的</w:t>
      </w:r>
      <w:r>
        <w:rPr>
          <w:color w:val="auto"/>
          <w:highlight w:val="none"/>
        </w:rPr>
        <w:t>集水井、泵房建筑物和配电设备。采用集中抽排时，</w:t>
      </w:r>
      <w:r>
        <w:rPr>
          <w:rFonts w:hint="eastAsia"/>
          <w:color w:val="auto"/>
          <w:highlight w:val="none"/>
        </w:rPr>
        <w:t>应符合国家标准，单块强排区面积原则上不超过1000亩，</w:t>
      </w:r>
      <w:r>
        <w:rPr>
          <w:color w:val="auto"/>
          <w:highlight w:val="none"/>
        </w:rPr>
        <w:t>应按GB/T</w:t>
      </w:r>
      <w:r>
        <w:rPr>
          <w:rFonts w:hint="eastAsia"/>
          <w:color w:val="auto"/>
          <w:highlight w:val="none"/>
          <w:lang w:val="en-US" w:eastAsia="zh-CN"/>
        </w:rPr>
        <w:t xml:space="preserve"> </w:t>
      </w:r>
      <w:r>
        <w:rPr>
          <w:color w:val="auto"/>
          <w:highlight w:val="none"/>
        </w:rPr>
        <w:t>50265和GB</w:t>
      </w:r>
      <w:r>
        <w:rPr>
          <w:rFonts w:hint="eastAsia"/>
          <w:color w:val="auto"/>
          <w:highlight w:val="none"/>
          <w:lang w:val="en-US" w:eastAsia="zh-CN"/>
        </w:rPr>
        <w:t xml:space="preserve">/T </w:t>
      </w:r>
      <w:r>
        <w:rPr>
          <w:color w:val="auto"/>
          <w:highlight w:val="none"/>
        </w:rPr>
        <w:t>50288要求的各项规定设计</w:t>
      </w:r>
      <w:r>
        <w:rPr>
          <w:rFonts w:hint="eastAsia"/>
          <w:color w:val="auto"/>
          <w:highlight w:val="none"/>
        </w:rPr>
        <w:t>强排泵站</w:t>
      </w:r>
      <w:r>
        <w:rPr>
          <w:color w:val="auto"/>
          <w:highlight w:val="none"/>
        </w:rPr>
        <w:t>。</w:t>
      </w:r>
    </w:p>
    <w:p w14:paraId="498909AE">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highlight w:val="none"/>
          <w:lang w:val="en-US" w:eastAsia="zh-CN"/>
        </w:rPr>
        <w:t>6.9.2 集水井</w:t>
      </w:r>
      <w:r>
        <w:rPr>
          <w:rFonts w:hint="eastAsia" w:ascii="黑体" w:hAnsi="黑体" w:eastAsia="黑体" w:cs="黑体"/>
          <w:color w:val="auto"/>
          <w:highlight w:val="none"/>
        </w:rPr>
        <w:t>设计</w:t>
      </w:r>
    </w:p>
    <w:p w14:paraId="21598F5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集水井的设计</w:t>
      </w:r>
      <w:r>
        <w:rPr>
          <w:rFonts w:hint="eastAsia"/>
          <w:color w:val="auto"/>
          <w:highlight w:val="none"/>
          <w:lang w:val="en-US" w:eastAsia="zh-CN"/>
        </w:rPr>
        <w:t>要求</w:t>
      </w:r>
      <w:r>
        <w:rPr>
          <w:rFonts w:hint="eastAsia"/>
          <w:color w:val="auto"/>
          <w:highlight w:val="none"/>
        </w:rPr>
        <w:t>：（1）</w:t>
      </w:r>
      <w:r>
        <w:rPr>
          <w:color w:val="auto"/>
          <w:highlight w:val="none"/>
        </w:rPr>
        <w:t>根据排水面积和排水模数估算吸水管、集水管和汇入集水井的流量，结合所选泵型、泵站运行方案，确定集水井的蓄水容积；（</w:t>
      </w:r>
      <w:r>
        <w:rPr>
          <w:rFonts w:hint="eastAsia"/>
          <w:color w:val="auto"/>
          <w:highlight w:val="none"/>
        </w:rPr>
        <w:t>2）</w:t>
      </w:r>
      <w:r>
        <w:rPr>
          <w:color w:val="auto"/>
          <w:highlight w:val="none"/>
        </w:rPr>
        <w:t>根据集水井的有效蓄水容积，确定集水井的设计尺寸和埋置深度；</w:t>
      </w:r>
      <w:r>
        <w:rPr>
          <w:rFonts w:hint="eastAsia"/>
          <w:color w:val="auto"/>
          <w:highlight w:val="none"/>
          <w:lang w:eastAsia="zh-CN"/>
        </w:rPr>
        <w:t>（</w:t>
      </w:r>
      <w:r>
        <w:rPr>
          <w:rFonts w:hint="eastAsia"/>
          <w:color w:val="auto"/>
          <w:highlight w:val="none"/>
          <w:lang w:val="en-US" w:eastAsia="zh-CN"/>
        </w:rPr>
        <w:t>3）</w:t>
      </w:r>
      <w:r>
        <w:rPr>
          <w:color w:val="auto"/>
          <w:highlight w:val="none"/>
        </w:rPr>
        <w:t>集水管进入集水井的管口位置应高于集水井有效蓄水容积水</w:t>
      </w:r>
      <w:r>
        <w:rPr>
          <w:rFonts w:hint="eastAsia"/>
          <w:color w:val="auto"/>
          <w:highlight w:val="none"/>
        </w:rPr>
        <w:t>位</w:t>
      </w:r>
      <w:r>
        <w:rPr>
          <w:color w:val="auto"/>
          <w:highlight w:val="none"/>
        </w:rPr>
        <w:t>面50cm以上；（</w:t>
      </w:r>
      <w:r>
        <w:rPr>
          <w:rFonts w:hint="eastAsia"/>
          <w:color w:val="auto"/>
          <w:highlight w:val="none"/>
          <w:lang w:val="en-US" w:eastAsia="zh-CN"/>
        </w:rPr>
        <w:t>4</w:t>
      </w:r>
      <w:r>
        <w:rPr>
          <w:rFonts w:hint="eastAsia"/>
          <w:color w:val="auto"/>
          <w:highlight w:val="none"/>
        </w:rPr>
        <w:t>）</w:t>
      </w:r>
      <w:r>
        <w:rPr>
          <w:color w:val="auto"/>
          <w:highlight w:val="none"/>
        </w:rPr>
        <w:t>集水井基础应满足地基强度和沉降要求，当地基条件较差时，可采用</w:t>
      </w:r>
      <w:r>
        <w:rPr>
          <w:rFonts w:hint="eastAsia"/>
          <w:color w:val="auto"/>
          <w:highlight w:val="none"/>
        </w:rPr>
        <w:t>土料夯实、砂垫层换填、浆砌石</w:t>
      </w:r>
      <w:r>
        <w:rPr>
          <w:color w:val="auto"/>
          <w:highlight w:val="none"/>
        </w:rPr>
        <w:t>加固处理。</w:t>
      </w:r>
    </w:p>
    <w:p w14:paraId="2240ED48">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rFonts w:hint="eastAsia" w:ascii="黑体" w:hAnsi="黑体" w:eastAsia="黑体" w:cs="黑体"/>
          <w:color w:val="auto"/>
          <w:highlight w:val="none"/>
        </w:rPr>
      </w:pPr>
      <w:r>
        <w:rPr>
          <w:rFonts w:hint="eastAsia" w:ascii="黑体" w:hAnsi="黑体" w:eastAsia="黑体" w:cs="黑体"/>
          <w:color w:val="auto"/>
          <w:highlight w:val="none"/>
          <w:lang w:val="en-US" w:eastAsia="zh-CN"/>
        </w:rPr>
        <w:t>6.9.3 泵站</w:t>
      </w:r>
      <w:r>
        <w:rPr>
          <w:rFonts w:hint="eastAsia" w:ascii="黑体" w:hAnsi="黑体" w:eastAsia="黑体" w:cs="黑体"/>
          <w:color w:val="auto"/>
          <w:highlight w:val="none"/>
        </w:rPr>
        <w:t>设计</w:t>
      </w:r>
    </w:p>
    <w:p w14:paraId="63A716A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color w:val="auto"/>
          <w:highlight w:val="none"/>
        </w:rPr>
        <w:t>泵站的设计</w:t>
      </w:r>
      <w:r>
        <w:rPr>
          <w:rFonts w:hint="eastAsia"/>
          <w:color w:val="auto"/>
          <w:highlight w:val="none"/>
          <w:lang w:val="en-US" w:eastAsia="zh-CN"/>
        </w:rPr>
        <w:t>要求</w:t>
      </w:r>
      <w:r>
        <w:rPr>
          <w:rFonts w:hint="eastAsia"/>
          <w:color w:val="auto"/>
          <w:highlight w:val="none"/>
        </w:rPr>
        <w:t>：</w:t>
      </w:r>
      <w:r>
        <w:rPr>
          <w:color w:val="auto"/>
          <w:highlight w:val="none"/>
        </w:rPr>
        <w:t>（</w:t>
      </w:r>
      <w:r>
        <w:rPr>
          <w:rFonts w:hint="eastAsia"/>
          <w:color w:val="auto"/>
          <w:highlight w:val="none"/>
        </w:rPr>
        <w:t>1）结合灌</w:t>
      </w:r>
      <w:r>
        <w:rPr>
          <w:color w:val="auto"/>
          <w:highlight w:val="none"/>
        </w:rPr>
        <w:t>区气候特点，</w:t>
      </w:r>
      <w:r>
        <w:rPr>
          <w:rFonts w:hint="eastAsia"/>
          <w:color w:val="auto"/>
          <w:highlight w:val="none"/>
        </w:rPr>
        <w:t>首选小型新能源动力系统</w:t>
      </w:r>
      <w:r>
        <w:rPr>
          <w:color w:val="auto"/>
          <w:highlight w:val="none"/>
        </w:rPr>
        <w:t>，自动抽排，</w:t>
      </w:r>
      <w:r>
        <w:rPr>
          <w:rFonts w:hint="eastAsia"/>
          <w:color w:val="auto"/>
          <w:highlight w:val="none"/>
          <w:lang w:val="en-US" w:eastAsia="zh-CN"/>
        </w:rPr>
        <w:t>节本增效降耗</w:t>
      </w:r>
      <w:r>
        <w:rPr>
          <w:color w:val="auto"/>
          <w:highlight w:val="none"/>
        </w:rPr>
        <w:t>；（</w:t>
      </w:r>
      <w:r>
        <w:rPr>
          <w:rFonts w:hint="eastAsia"/>
          <w:color w:val="auto"/>
          <w:highlight w:val="none"/>
        </w:rPr>
        <w:t>2）采用潜水泵抽排，并</w:t>
      </w:r>
      <w:r>
        <w:rPr>
          <w:color w:val="auto"/>
          <w:highlight w:val="none"/>
        </w:rPr>
        <w:t>留有足够的沉沙空间；（</w:t>
      </w:r>
      <w:r>
        <w:rPr>
          <w:rFonts w:hint="eastAsia"/>
          <w:color w:val="auto"/>
          <w:highlight w:val="none"/>
        </w:rPr>
        <w:t>5）泵房设计应满足设备布置、运行、检修需求，符合通风、采光、防火、防噪规定以及建筑结构强度与稳定性要求；</w:t>
      </w:r>
    </w:p>
    <w:p w14:paraId="250A089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color w:val="auto"/>
          <w:highlight w:val="none"/>
        </w:rPr>
        <w:t>应充分考虑抽排区内的调蓄能力</w:t>
      </w:r>
      <w:r>
        <w:rPr>
          <w:rFonts w:hint="eastAsia"/>
          <w:color w:val="auto"/>
          <w:highlight w:val="none"/>
        </w:rPr>
        <w:t>，当</w:t>
      </w:r>
      <w:r>
        <w:rPr>
          <w:color w:val="auto"/>
          <w:highlight w:val="none"/>
        </w:rPr>
        <w:t>与灌溉相结合</w:t>
      </w:r>
      <w:r>
        <w:rPr>
          <w:rFonts w:hint="eastAsia"/>
          <w:color w:val="auto"/>
          <w:highlight w:val="none"/>
        </w:rPr>
        <w:t>时</w:t>
      </w:r>
      <w:r>
        <w:rPr>
          <w:color w:val="auto"/>
          <w:highlight w:val="none"/>
        </w:rPr>
        <w:t>应按排灌两用泵站要求进行设计；（</w:t>
      </w:r>
      <w:r>
        <w:rPr>
          <w:rFonts w:hint="eastAsia"/>
          <w:color w:val="auto"/>
          <w:highlight w:val="none"/>
        </w:rPr>
        <w:t>7）若采用光伏能源，应根据抽排水量和扬程，选取光伏水泵、电机功率和太阳能板，同时</w:t>
      </w:r>
      <w:r>
        <w:rPr>
          <w:color w:val="auto"/>
          <w:highlight w:val="none"/>
        </w:rPr>
        <w:t>应满足相应行业规范与标准的要求</w:t>
      </w:r>
      <w:r>
        <w:rPr>
          <w:rFonts w:hint="eastAsia"/>
          <w:color w:val="auto"/>
          <w:highlight w:val="none"/>
        </w:rPr>
        <w:t>；</w:t>
      </w:r>
    </w:p>
    <w:p w14:paraId="486E2CB7">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提倡</w:t>
      </w:r>
      <w:r>
        <w:rPr>
          <w:rFonts w:hint="eastAsia"/>
          <w:color w:val="auto"/>
          <w:highlight w:val="none"/>
          <w:lang w:val="en-US" w:eastAsia="zh-CN"/>
        </w:rPr>
        <w:t>选</w:t>
      </w:r>
      <w:r>
        <w:rPr>
          <w:rFonts w:hint="eastAsia"/>
          <w:color w:val="auto"/>
          <w:highlight w:val="none"/>
        </w:rPr>
        <w:t>用新材料、新技术建设抽排控制枢纽，</w:t>
      </w:r>
      <w:r>
        <w:rPr>
          <w:rFonts w:hint="eastAsia"/>
          <w:color w:val="auto"/>
          <w:highlight w:val="none"/>
          <w:lang w:val="en-US" w:eastAsia="zh-CN"/>
        </w:rPr>
        <w:t>优先采用</w:t>
      </w:r>
      <w:r>
        <w:rPr>
          <w:rFonts w:hint="eastAsia"/>
          <w:color w:val="auto"/>
          <w:highlight w:val="none"/>
        </w:rPr>
        <w:t>外置管路控制系统</w:t>
      </w:r>
      <w:r>
        <w:rPr>
          <w:rFonts w:hint="eastAsia"/>
          <w:color w:val="auto"/>
          <w:highlight w:val="none"/>
          <w:lang w:eastAsia="zh-CN"/>
        </w:rPr>
        <w:t>、</w:t>
      </w:r>
      <w:r>
        <w:rPr>
          <w:rFonts w:hint="eastAsia"/>
          <w:color w:val="auto"/>
          <w:highlight w:val="none"/>
          <w:lang w:val="en-US" w:eastAsia="zh-CN"/>
        </w:rPr>
        <w:t>新材料</w:t>
      </w:r>
      <w:r>
        <w:rPr>
          <w:rFonts w:hint="eastAsia"/>
          <w:color w:val="auto"/>
          <w:highlight w:val="none"/>
        </w:rPr>
        <w:t>控制箱</w:t>
      </w:r>
      <w:r>
        <w:rPr>
          <w:rFonts w:hint="eastAsia"/>
          <w:color w:val="auto"/>
          <w:highlight w:val="none"/>
          <w:lang w:val="en-US" w:eastAsia="zh-CN"/>
        </w:rPr>
        <w:t>的泵房</w:t>
      </w:r>
      <w:r>
        <w:rPr>
          <w:rFonts w:hint="eastAsia"/>
          <w:color w:val="auto"/>
          <w:highlight w:val="none"/>
        </w:rPr>
        <w:t>设计</w:t>
      </w:r>
      <w:r>
        <w:rPr>
          <w:rFonts w:hint="eastAsia"/>
          <w:color w:val="auto"/>
          <w:highlight w:val="none"/>
          <w:lang w:val="en-US" w:eastAsia="zh-CN"/>
        </w:rPr>
        <w:t>方案</w:t>
      </w:r>
      <w:r>
        <w:rPr>
          <w:color w:val="auto"/>
          <w:highlight w:val="none"/>
        </w:rPr>
        <w:t>。</w:t>
      </w:r>
    </w:p>
    <w:p w14:paraId="1FE564C1">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采用</w:t>
      </w:r>
      <w:r>
        <w:rPr>
          <w:color w:val="auto"/>
          <w:highlight w:val="none"/>
        </w:rPr>
        <w:t>暗管系统与抽水</w:t>
      </w:r>
      <w:r>
        <w:rPr>
          <w:rFonts w:hint="eastAsia"/>
          <w:color w:val="auto"/>
          <w:highlight w:val="none"/>
        </w:rPr>
        <w:t>集</w:t>
      </w:r>
      <w:r>
        <w:rPr>
          <w:color w:val="auto"/>
          <w:highlight w:val="none"/>
        </w:rPr>
        <w:t>井联合排水</w:t>
      </w:r>
      <w:r>
        <w:rPr>
          <w:rFonts w:hint="eastAsia"/>
          <w:color w:val="auto"/>
          <w:highlight w:val="none"/>
        </w:rPr>
        <w:t>模式，通过集水井连接管井抽排，</w:t>
      </w:r>
      <w:r>
        <w:rPr>
          <w:color w:val="auto"/>
          <w:highlight w:val="none"/>
        </w:rPr>
        <w:t>提高排水效率</w:t>
      </w:r>
      <w:r>
        <w:rPr>
          <w:rFonts w:hint="eastAsia"/>
          <w:color w:val="auto"/>
          <w:highlight w:val="none"/>
          <w:lang w:eastAsia="zh-CN"/>
        </w:rPr>
        <w:t>。</w:t>
      </w:r>
      <w:r>
        <w:rPr>
          <w:color w:val="auto"/>
          <w:highlight w:val="none"/>
        </w:rPr>
        <w:t>若将水泵安装在管井中，应符合</w:t>
      </w:r>
      <w:r>
        <w:rPr>
          <w:color w:val="auto"/>
          <w:kern w:val="2"/>
          <w:highlight w:val="none"/>
        </w:rPr>
        <w:t>SL 256 机井技术规范的要求</w:t>
      </w:r>
      <w:r>
        <w:rPr>
          <w:rFonts w:hint="eastAsia"/>
          <w:color w:val="auto"/>
          <w:kern w:val="2"/>
          <w:highlight w:val="none"/>
        </w:rPr>
        <w:t>，</w:t>
      </w:r>
      <w:r>
        <w:rPr>
          <w:color w:val="auto"/>
          <w:highlight w:val="none"/>
        </w:rPr>
        <w:t>宜以机井为中心对称布置暗管排水系统</w:t>
      </w:r>
      <w:r>
        <w:rPr>
          <w:rFonts w:hint="eastAsia"/>
          <w:color w:val="auto"/>
          <w:highlight w:val="none"/>
          <w:lang w:eastAsia="zh-CN"/>
        </w:rPr>
        <w:t>。</w:t>
      </w:r>
    </w:p>
    <w:p w14:paraId="2AB55BB4">
      <w:pPr>
        <w:pStyle w:val="90"/>
        <w:keepNext w:val="0"/>
        <w:keepLines w:val="0"/>
        <w:pageBreakBefore w:val="0"/>
        <w:widowControl/>
        <w:kinsoku/>
        <w:wordWrap/>
        <w:overflowPunct/>
        <w:topLinePunct w:val="0"/>
        <w:autoSpaceDE/>
        <w:autoSpaceDN/>
        <w:bidi w:val="0"/>
        <w:adjustRightInd/>
        <w:snapToGrid/>
        <w:textAlignment w:val="auto"/>
        <w:rPr>
          <w:rFonts w:hint="eastAsia"/>
          <w:color w:val="auto"/>
          <w:highlight w:val="none"/>
        </w:rPr>
      </w:pPr>
      <w:bookmarkStart w:id="315" w:name="_Toc520709311"/>
      <w:bookmarkStart w:id="316" w:name="_Toc22450"/>
      <w:bookmarkStart w:id="317" w:name="_Toc520823480"/>
      <w:bookmarkStart w:id="318" w:name="_Toc1434"/>
      <w:bookmarkStart w:id="319" w:name="_Toc24542"/>
      <w:bookmarkStart w:id="320" w:name="_Toc522140508"/>
      <w:bookmarkStart w:id="321" w:name="_Toc299889778"/>
      <w:bookmarkStart w:id="322" w:name="_Toc19652"/>
      <w:bookmarkStart w:id="323" w:name="_Toc15785"/>
      <w:bookmarkStart w:id="324" w:name="_Toc4779"/>
      <w:bookmarkStart w:id="325" w:name="_Toc31331"/>
      <w:r>
        <w:rPr>
          <w:rFonts w:hint="eastAsia"/>
          <w:color w:val="auto"/>
          <w:highlight w:val="none"/>
        </w:rPr>
        <w:t>工程施工</w:t>
      </w:r>
      <w:bookmarkEnd w:id="315"/>
      <w:bookmarkEnd w:id="316"/>
      <w:bookmarkEnd w:id="317"/>
      <w:bookmarkEnd w:id="318"/>
      <w:bookmarkEnd w:id="319"/>
      <w:bookmarkEnd w:id="320"/>
      <w:bookmarkEnd w:id="321"/>
      <w:bookmarkEnd w:id="322"/>
      <w:bookmarkEnd w:id="323"/>
      <w:bookmarkEnd w:id="324"/>
      <w:bookmarkEnd w:id="325"/>
    </w:p>
    <w:p w14:paraId="5706BD27">
      <w:pPr>
        <w:pStyle w:val="71"/>
        <w:rPr>
          <w:rFonts w:hint="eastAsia"/>
          <w:color w:val="auto"/>
          <w:highlight w:val="none"/>
        </w:rPr>
      </w:pPr>
      <w:bookmarkStart w:id="326" w:name="_Toc299889779"/>
      <w:bookmarkStart w:id="327" w:name="_Toc18939"/>
      <w:bookmarkStart w:id="328" w:name="_Toc520709312"/>
      <w:bookmarkStart w:id="329" w:name="_Toc27533"/>
      <w:bookmarkStart w:id="330" w:name="_Toc8740"/>
      <w:bookmarkStart w:id="331" w:name="_Toc522140509"/>
      <w:bookmarkStart w:id="332" w:name="_Toc2346"/>
      <w:bookmarkStart w:id="333" w:name="_Toc520823481"/>
      <w:bookmarkStart w:id="334" w:name="_Toc30477"/>
      <w:bookmarkStart w:id="335" w:name="_Toc7151"/>
      <w:r>
        <w:rPr>
          <w:rFonts w:hint="eastAsia"/>
          <w:color w:val="auto"/>
          <w:highlight w:val="none"/>
        </w:rPr>
        <w:t>一般规定</w:t>
      </w:r>
      <w:bookmarkEnd w:id="326"/>
      <w:bookmarkEnd w:id="327"/>
      <w:bookmarkEnd w:id="328"/>
      <w:bookmarkEnd w:id="329"/>
      <w:bookmarkEnd w:id="330"/>
      <w:bookmarkEnd w:id="331"/>
      <w:bookmarkEnd w:id="332"/>
      <w:bookmarkEnd w:id="333"/>
      <w:bookmarkEnd w:id="334"/>
      <w:bookmarkEnd w:id="335"/>
    </w:p>
    <w:p w14:paraId="0711D53B">
      <w:pPr>
        <w:pStyle w:val="25"/>
        <w:keepNext w:val="0"/>
        <w:keepLines w:val="0"/>
        <w:pageBreakBefore w:val="0"/>
        <w:widowControl/>
        <w:kinsoku/>
        <w:wordWrap/>
        <w:overflowPunct/>
        <w:topLinePunct w:val="0"/>
        <w:bidi w:val="0"/>
        <w:adjustRightInd w:val="0"/>
        <w:snapToGrid w:val="0"/>
        <w:spacing w:line="240" w:lineRule="auto"/>
        <w:ind w:firstLine="0" w:firstLineChars="0"/>
        <w:textAlignment w:val="auto"/>
        <w:rPr>
          <w:rFonts w:hAnsi="宋体" w:cs="宋体"/>
          <w:color w:val="auto"/>
          <w:highlight w:val="none"/>
        </w:rPr>
      </w:pPr>
      <w:r>
        <w:rPr>
          <w:rFonts w:hint="eastAsia" w:ascii="黑体" w:hAnsi="黑体" w:eastAsia="黑体" w:cs="黑体"/>
          <w:color w:val="auto"/>
          <w:sz w:val="21"/>
          <w:szCs w:val="21"/>
          <w:highlight w:val="none"/>
          <w:lang w:val="en-US" w:eastAsia="zh-CN" w:bidi="ar-SA"/>
        </w:rPr>
        <w:t>7.1.1 施工前</w:t>
      </w:r>
      <w:r>
        <w:rPr>
          <w:rFonts w:hint="eastAsia" w:ascii="黑体" w:hAnsi="黑体" w:eastAsia="黑体" w:cs="黑体"/>
          <w:color w:val="auto"/>
          <w:highlight w:val="none"/>
        </w:rPr>
        <w:t>准备</w:t>
      </w:r>
    </w:p>
    <w:p w14:paraId="0BF9BB19">
      <w:pPr>
        <w:pStyle w:val="117"/>
        <w:keepNext w:val="0"/>
        <w:keepLines w:val="0"/>
        <w:pageBreakBefore w:val="0"/>
        <w:widowControl/>
        <w:numPr>
          <w:ilvl w:val="0"/>
          <w:numId w:val="0"/>
        </w:numPr>
        <w:kinsoku/>
        <w:wordWrap/>
        <w:overflowPunct/>
        <w:topLinePunct w:val="0"/>
        <w:bidi w:val="0"/>
        <w:adjustRightInd w:val="0"/>
        <w:snapToGrid w:val="0"/>
        <w:spacing w:line="240" w:lineRule="auto"/>
        <w:ind w:firstLine="420" w:firstLineChars="200"/>
        <w:textAlignment w:val="auto"/>
        <w:rPr>
          <w:color w:val="auto"/>
          <w:highlight w:val="none"/>
        </w:rPr>
      </w:pPr>
      <w:r>
        <w:rPr>
          <w:color w:val="auto"/>
          <w:highlight w:val="none"/>
        </w:rPr>
        <w:t>暗管</w:t>
      </w:r>
      <w:r>
        <w:rPr>
          <w:rFonts w:hint="eastAsia"/>
          <w:color w:val="auto"/>
          <w:highlight w:val="none"/>
        </w:rPr>
        <w:t>排水</w:t>
      </w:r>
      <w:r>
        <w:rPr>
          <w:color w:val="auto"/>
          <w:highlight w:val="none"/>
        </w:rPr>
        <w:t>工程</w:t>
      </w:r>
      <w:r>
        <w:rPr>
          <w:rFonts w:hint="eastAsia"/>
          <w:color w:val="auto"/>
          <w:highlight w:val="none"/>
        </w:rPr>
        <w:t>的</w:t>
      </w:r>
      <w:r>
        <w:rPr>
          <w:color w:val="auto"/>
          <w:highlight w:val="none"/>
        </w:rPr>
        <w:t>建设应遵守国家、地方和部门有关建设工程的法律法规，履行必要的建设程序，选择合规施工队伍，健全</w:t>
      </w:r>
      <w:r>
        <w:rPr>
          <w:rFonts w:hint="eastAsia"/>
          <w:color w:val="auto"/>
          <w:highlight w:val="none"/>
        </w:rPr>
        <w:t>工程建设、</w:t>
      </w:r>
      <w:r>
        <w:rPr>
          <w:color w:val="auto"/>
          <w:highlight w:val="none"/>
        </w:rPr>
        <w:t>施工组织机构。</w:t>
      </w:r>
    </w:p>
    <w:p w14:paraId="6766F717">
      <w:pPr>
        <w:pStyle w:val="117"/>
        <w:keepNext w:val="0"/>
        <w:keepLines w:val="0"/>
        <w:pageBreakBefore w:val="0"/>
        <w:widowControl/>
        <w:numPr>
          <w:ilvl w:val="0"/>
          <w:numId w:val="0"/>
        </w:numPr>
        <w:kinsoku/>
        <w:wordWrap/>
        <w:overflowPunct/>
        <w:topLinePunct w:val="0"/>
        <w:bidi w:val="0"/>
        <w:adjustRightInd w:val="0"/>
        <w:snapToGrid w:val="0"/>
        <w:spacing w:line="240" w:lineRule="auto"/>
        <w:ind w:firstLine="420" w:firstLineChars="200"/>
        <w:textAlignment w:val="auto"/>
        <w:rPr>
          <w:color w:val="auto"/>
          <w:highlight w:val="none"/>
        </w:rPr>
      </w:pPr>
      <w:r>
        <w:rPr>
          <w:color w:val="auto"/>
          <w:highlight w:val="none"/>
        </w:rPr>
        <w:t>施工前建设单位应做好下列工作</w:t>
      </w:r>
      <w:r>
        <w:rPr>
          <w:rFonts w:hint="eastAsia"/>
          <w:color w:val="auto"/>
          <w:highlight w:val="none"/>
        </w:rPr>
        <w:t>：（1）</w:t>
      </w:r>
      <w:r>
        <w:rPr>
          <w:color w:val="auto"/>
          <w:highlight w:val="none"/>
        </w:rPr>
        <w:t>按照国家有关建设工程招投标规定，做好暗管排水工程施工的招、投标工作；（</w:t>
      </w:r>
      <w:r>
        <w:rPr>
          <w:rFonts w:hint="eastAsia"/>
          <w:color w:val="auto"/>
          <w:highlight w:val="none"/>
        </w:rPr>
        <w:t>2）</w:t>
      </w:r>
      <w:r>
        <w:rPr>
          <w:color w:val="auto"/>
          <w:highlight w:val="none"/>
        </w:rPr>
        <w:t>组织设计单位向施工、监理等单位有关人员进行交底，并形成技术文件</w:t>
      </w:r>
      <w:r>
        <w:rPr>
          <w:rFonts w:hint="eastAsia"/>
          <w:color w:val="auto"/>
          <w:highlight w:val="none"/>
        </w:rPr>
        <w:t>；（3）</w:t>
      </w:r>
      <w:r>
        <w:rPr>
          <w:color w:val="auto"/>
          <w:highlight w:val="none"/>
        </w:rPr>
        <w:t>向施工单位提供施工现场和毗邻区域内各种地下管线、道路及建筑物的现状</w:t>
      </w:r>
      <w:r>
        <w:rPr>
          <w:rFonts w:hint="eastAsia"/>
          <w:color w:val="auto"/>
          <w:highlight w:val="none"/>
        </w:rPr>
        <w:t>翔实</w:t>
      </w:r>
      <w:r>
        <w:rPr>
          <w:color w:val="auto"/>
          <w:highlight w:val="none"/>
        </w:rPr>
        <w:t>资料，研究确定施工区内地下管线、文物、道路及建筑物的保护、拆</w:t>
      </w:r>
      <w:r>
        <w:rPr>
          <w:rFonts w:hint="eastAsia"/>
          <w:color w:val="auto"/>
          <w:highlight w:val="none"/>
        </w:rPr>
        <w:t>移、</w:t>
      </w:r>
      <w:r>
        <w:rPr>
          <w:color w:val="auto"/>
          <w:highlight w:val="none"/>
        </w:rPr>
        <w:t>加固方案，并形成</w:t>
      </w:r>
      <w:r>
        <w:rPr>
          <w:rFonts w:hint="eastAsia"/>
          <w:color w:val="auto"/>
          <w:highlight w:val="none"/>
        </w:rPr>
        <w:t>正式</w:t>
      </w:r>
      <w:r>
        <w:rPr>
          <w:color w:val="auto"/>
          <w:highlight w:val="none"/>
        </w:rPr>
        <w:t>文件</w:t>
      </w:r>
      <w:r>
        <w:rPr>
          <w:rFonts w:hint="eastAsia"/>
          <w:color w:val="auto"/>
          <w:highlight w:val="none"/>
        </w:rPr>
        <w:t>；（4）</w:t>
      </w:r>
      <w:r>
        <w:rPr>
          <w:color w:val="auto"/>
          <w:highlight w:val="none"/>
        </w:rPr>
        <w:t>组织勘察</w:t>
      </w:r>
      <w:r>
        <w:rPr>
          <w:rFonts w:hint="eastAsia"/>
          <w:color w:val="auto"/>
          <w:highlight w:val="none"/>
        </w:rPr>
        <w:t>、</w:t>
      </w:r>
      <w:r>
        <w:rPr>
          <w:color w:val="auto"/>
          <w:highlight w:val="none"/>
        </w:rPr>
        <w:t>设计单位向施工单位移交现场测量控制桩、水准点，并形成书面文件</w:t>
      </w:r>
      <w:r>
        <w:rPr>
          <w:rFonts w:hint="eastAsia"/>
          <w:color w:val="auto"/>
          <w:highlight w:val="none"/>
        </w:rPr>
        <w:t>；（5）</w:t>
      </w:r>
      <w:r>
        <w:rPr>
          <w:color w:val="auto"/>
          <w:highlight w:val="none"/>
        </w:rPr>
        <w:t>施工前应做好各方协调工作，保障施工场地</w:t>
      </w:r>
      <w:r>
        <w:rPr>
          <w:rFonts w:hint="eastAsia"/>
          <w:color w:val="auto"/>
          <w:highlight w:val="none"/>
        </w:rPr>
        <w:t>“</w:t>
      </w:r>
      <w:r>
        <w:rPr>
          <w:color w:val="auto"/>
          <w:highlight w:val="none"/>
        </w:rPr>
        <w:t>三通一平</w:t>
      </w:r>
      <w:r>
        <w:rPr>
          <w:rFonts w:hint="eastAsia"/>
          <w:color w:val="auto"/>
          <w:highlight w:val="none"/>
        </w:rPr>
        <w:t>”</w:t>
      </w:r>
      <w:r>
        <w:rPr>
          <w:color w:val="auto"/>
          <w:highlight w:val="none"/>
        </w:rPr>
        <w:t>。</w:t>
      </w:r>
    </w:p>
    <w:p w14:paraId="3A36840B">
      <w:pPr>
        <w:pStyle w:val="117"/>
        <w:keepNext w:val="0"/>
        <w:keepLines w:val="0"/>
        <w:pageBreakBefore w:val="0"/>
        <w:widowControl/>
        <w:numPr>
          <w:ilvl w:val="0"/>
          <w:numId w:val="0"/>
        </w:numPr>
        <w:kinsoku/>
        <w:wordWrap/>
        <w:overflowPunct/>
        <w:topLinePunct w:val="0"/>
        <w:bidi w:val="0"/>
        <w:adjustRightInd w:val="0"/>
        <w:snapToGrid w:val="0"/>
        <w:spacing w:line="240" w:lineRule="auto"/>
        <w:ind w:firstLine="420" w:firstLineChars="200"/>
        <w:textAlignment w:val="auto"/>
        <w:rPr>
          <w:color w:val="auto"/>
          <w:highlight w:val="none"/>
        </w:rPr>
      </w:pPr>
      <w:r>
        <w:rPr>
          <w:color w:val="auto"/>
          <w:highlight w:val="none"/>
        </w:rPr>
        <w:t>施工前施工单位应做好下列工作</w:t>
      </w:r>
      <w:r>
        <w:rPr>
          <w:rFonts w:hint="eastAsia"/>
          <w:color w:val="auto"/>
          <w:highlight w:val="none"/>
        </w:rPr>
        <w:t>：（1）</w:t>
      </w:r>
      <w:r>
        <w:rPr>
          <w:color w:val="auto"/>
          <w:highlight w:val="none"/>
        </w:rPr>
        <w:t>对</w:t>
      </w:r>
      <w:r>
        <w:rPr>
          <w:rFonts w:hint="eastAsia"/>
          <w:color w:val="auto"/>
          <w:highlight w:val="none"/>
        </w:rPr>
        <w:t>建设单位</w:t>
      </w:r>
      <w:r>
        <w:rPr>
          <w:color w:val="auto"/>
          <w:highlight w:val="none"/>
        </w:rPr>
        <w:t>提供的设计文件、施工现场资料进行认真研读，并组织有关人员进行现场</w:t>
      </w:r>
      <w:r>
        <w:rPr>
          <w:rFonts w:hint="eastAsia"/>
          <w:color w:val="auto"/>
          <w:highlight w:val="none"/>
        </w:rPr>
        <w:t>全面深入的</w:t>
      </w:r>
      <w:r>
        <w:rPr>
          <w:color w:val="auto"/>
          <w:highlight w:val="none"/>
        </w:rPr>
        <w:t>踏勘、调查</w:t>
      </w:r>
      <w:r>
        <w:rPr>
          <w:rFonts w:hint="eastAsia"/>
          <w:color w:val="auto"/>
          <w:highlight w:val="none"/>
        </w:rPr>
        <w:t>，发现问题及时与监理、建设单位联系，取得建设单位同意后，会同设计单位进行变更，并形成设计变更文件；（2）</w:t>
      </w:r>
      <w:r>
        <w:rPr>
          <w:color w:val="auto"/>
          <w:highlight w:val="none"/>
        </w:rPr>
        <w:t>应根据规划设计、资金投入及农业生产情况，进行施工组织设计，制定施工方案。对于重大变更</w:t>
      </w:r>
      <w:r>
        <w:rPr>
          <w:rFonts w:hint="eastAsia"/>
          <w:color w:val="auto"/>
          <w:highlight w:val="none"/>
        </w:rPr>
        <w:t>，</w:t>
      </w:r>
      <w:r>
        <w:rPr>
          <w:color w:val="auto"/>
          <w:highlight w:val="none"/>
        </w:rPr>
        <w:t>应会同设计、监理和建设单位共同提出修改方案，报主管单位审批后实施并形成书面文件；（</w:t>
      </w:r>
      <w:r>
        <w:rPr>
          <w:rFonts w:hint="eastAsia"/>
          <w:color w:val="auto"/>
          <w:highlight w:val="none"/>
        </w:rPr>
        <w:t>3）</w:t>
      </w:r>
      <w:r>
        <w:rPr>
          <w:color w:val="auto"/>
          <w:highlight w:val="none"/>
        </w:rPr>
        <w:t>进行水准点复核、地形详测、定线放样、物料制备和施工机械、设备等的施工准备工作。</w:t>
      </w:r>
    </w:p>
    <w:p w14:paraId="31529B0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sz w:val="21"/>
          <w:szCs w:val="21"/>
          <w:highlight w:val="none"/>
          <w:lang w:val="en-US" w:eastAsia="zh-CN" w:bidi="ar-SA"/>
        </w:rPr>
        <w:t>7.1.2 施工工</w:t>
      </w:r>
      <w:r>
        <w:rPr>
          <w:rFonts w:hint="eastAsia" w:ascii="黑体" w:hAnsi="黑体" w:eastAsia="黑体" w:cs="黑体"/>
          <w:color w:val="auto"/>
          <w:highlight w:val="none"/>
        </w:rPr>
        <w:t>期和顺序</w:t>
      </w:r>
    </w:p>
    <w:p w14:paraId="367B0697">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暗管排水工程应选在非汛期的农闲及地下水位较低时期，宜按先下游后上游，先骨干后田间的施工顺序进行施工，必要时应采取预排水措施。</w:t>
      </w:r>
    </w:p>
    <w:p w14:paraId="3900595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lang w:val="en-US" w:eastAsia="zh-CN"/>
        </w:rPr>
        <w:t>施工单位必须制定详细的施工进度计划，确保工程按期完成。</w:t>
      </w:r>
    </w:p>
    <w:p w14:paraId="603B463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sz w:val="21"/>
          <w:szCs w:val="21"/>
          <w:highlight w:val="none"/>
          <w:lang w:val="en-US" w:eastAsia="zh-CN" w:bidi="ar-SA"/>
        </w:rPr>
        <w:t>7.1.3 施工资</w:t>
      </w:r>
      <w:r>
        <w:rPr>
          <w:rFonts w:hint="eastAsia" w:ascii="黑体" w:hAnsi="黑体" w:eastAsia="黑体" w:cs="黑体"/>
          <w:color w:val="auto"/>
          <w:highlight w:val="none"/>
          <w:lang w:val="en-US" w:eastAsia="zh-CN"/>
        </w:rPr>
        <w:t>质与协调</w:t>
      </w:r>
    </w:p>
    <w:p w14:paraId="208743C0">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施工单位必须配备有资质的施工人员参与施工，施工机械操作人员必须持证上岗。</w:t>
      </w:r>
    </w:p>
    <w:p w14:paraId="0E5B8C77">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施工单位应结合工程特点，对现场作业人员进行技术安全培训，结合施工部署，做好安全施工、文明施工和施工中的水土保持</w:t>
      </w:r>
      <w:r>
        <w:rPr>
          <w:rFonts w:hint="eastAsia"/>
          <w:color w:val="auto"/>
          <w:highlight w:val="none"/>
        </w:rPr>
        <w:t>、环境保护</w:t>
      </w:r>
      <w:r>
        <w:rPr>
          <w:color w:val="auto"/>
          <w:highlight w:val="none"/>
        </w:rPr>
        <w:t>等</w:t>
      </w:r>
      <w:r>
        <w:rPr>
          <w:rFonts w:hint="eastAsia"/>
          <w:color w:val="auto"/>
          <w:highlight w:val="none"/>
        </w:rPr>
        <w:t>相关</w:t>
      </w:r>
      <w:r>
        <w:rPr>
          <w:color w:val="auto"/>
          <w:highlight w:val="none"/>
        </w:rPr>
        <w:t>工作。</w:t>
      </w:r>
    </w:p>
    <w:p w14:paraId="3230B93E">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采用新技术、新材料、新设备时，应对施工人员进行岗前技术培训。若组织人工开挖管沟时，应进行标准断面的示范。</w:t>
      </w:r>
    </w:p>
    <w:p w14:paraId="15738C8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建设单位、监理单位和施工单位必须严格履行合同义务和责任，按设计文件质量要求完成工程建设任务。</w:t>
      </w:r>
    </w:p>
    <w:p w14:paraId="521A9C75">
      <w:pPr>
        <w:pStyle w:val="71"/>
        <w:rPr>
          <w:rFonts w:hint="eastAsia"/>
          <w:color w:val="auto"/>
          <w:highlight w:val="none"/>
        </w:rPr>
      </w:pPr>
      <w:bookmarkStart w:id="336" w:name="_Toc520709313"/>
      <w:bookmarkStart w:id="337" w:name="_Toc24639"/>
      <w:bookmarkStart w:id="338" w:name="_Toc299889780"/>
      <w:bookmarkStart w:id="339" w:name="_Toc5180"/>
      <w:bookmarkStart w:id="340" w:name="_Toc13869"/>
      <w:bookmarkStart w:id="341" w:name="_Toc28079"/>
      <w:bookmarkStart w:id="342" w:name="_Toc19002"/>
      <w:bookmarkStart w:id="343" w:name="_Toc522140510"/>
      <w:bookmarkStart w:id="344" w:name="_Toc10137"/>
      <w:bookmarkStart w:id="345" w:name="_Toc520823482"/>
      <w:bookmarkStart w:id="346" w:name="_Toc520709314"/>
      <w:bookmarkStart w:id="347" w:name="_Toc522140511"/>
      <w:bookmarkStart w:id="348" w:name="_Toc299889781"/>
      <w:bookmarkStart w:id="349" w:name="_Toc520823483"/>
      <w:bookmarkStart w:id="350" w:name="_Toc13504"/>
      <w:bookmarkStart w:id="351" w:name="_Toc20996"/>
      <w:r>
        <w:rPr>
          <w:rFonts w:hint="eastAsia"/>
          <w:color w:val="auto"/>
          <w:highlight w:val="none"/>
        </w:rPr>
        <w:t>施工工艺</w:t>
      </w:r>
      <w:bookmarkEnd w:id="336"/>
      <w:bookmarkEnd w:id="337"/>
      <w:bookmarkEnd w:id="338"/>
      <w:bookmarkEnd w:id="339"/>
      <w:bookmarkEnd w:id="340"/>
      <w:bookmarkEnd w:id="341"/>
      <w:bookmarkEnd w:id="342"/>
      <w:bookmarkEnd w:id="343"/>
      <w:bookmarkEnd w:id="344"/>
      <w:bookmarkEnd w:id="345"/>
    </w:p>
    <w:p w14:paraId="4FCDBB50">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7.2.1 管线</w:t>
      </w:r>
      <w:r>
        <w:rPr>
          <w:rFonts w:hint="eastAsia" w:ascii="黑体" w:hAnsi="黑体" w:eastAsia="黑体" w:cs="黑体"/>
          <w:color w:val="auto"/>
          <w:highlight w:val="none"/>
        </w:rPr>
        <w:t>标定</w:t>
      </w:r>
    </w:p>
    <w:p w14:paraId="3E5E0FDD">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textAlignment w:val="auto"/>
        <w:rPr>
          <w:color w:val="auto"/>
          <w:highlight w:val="none"/>
        </w:rPr>
      </w:pPr>
      <w:r>
        <w:rPr>
          <w:color w:val="auto"/>
          <w:szCs w:val="20"/>
          <w:highlight w:val="none"/>
        </w:rPr>
        <w:t>管道铺设施工前，必须根据设计文件在田间标定出管线及建筑物位置。当采用人工开挖铺设管道施工时，每条管道中心线的首、尾端应设置标示桩</w:t>
      </w:r>
      <w:r>
        <w:rPr>
          <w:rFonts w:hint="eastAsia"/>
          <w:color w:val="auto"/>
          <w:szCs w:val="20"/>
          <w:highlight w:val="none"/>
        </w:rPr>
        <w:t>，并且沿管线</w:t>
      </w:r>
      <w:r>
        <w:rPr>
          <w:color w:val="auto"/>
          <w:szCs w:val="20"/>
          <w:highlight w:val="none"/>
        </w:rPr>
        <w:t>每隔20</w:t>
      </w:r>
      <w:r>
        <w:rPr>
          <w:rFonts w:hint="eastAsia" w:ascii="Times New Roman"/>
          <w:color w:val="auto"/>
          <w:szCs w:val="20"/>
          <w:highlight w:val="none"/>
        </w:rPr>
        <w:t>～</w:t>
      </w:r>
      <w:r>
        <w:rPr>
          <w:color w:val="auto"/>
          <w:szCs w:val="20"/>
          <w:highlight w:val="none"/>
        </w:rPr>
        <w:t>30m设标示桩，标出管道的开挖深度和宽度</w:t>
      </w:r>
      <w:r>
        <w:rPr>
          <w:rFonts w:hint="eastAsia"/>
          <w:color w:val="auto"/>
          <w:highlight w:val="none"/>
        </w:rPr>
        <w:t>；</w:t>
      </w:r>
      <w:r>
        <w:rPr>
          <w:color w:val="auto"/>
          <w:highlight w:val="none"/>
        </w:rPr>
        <w:t>当采用开沟铺管机施工时，可只设置一条中心线。</w:t>
      </w:r>
    </w:p>
    <w:p w14:paraId="1A9F10BE">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7.2.2 管线</w:t>
      </w:r>
      <w:r>
        <w:rPr>
          <w:rFonts w:hint="eastAsia" w:ascii="黑体" w:hAnsi="黑体" w:eastAsia="黑体" w:cs="黑体"/>
          <w:color w:val="auto"/>
          <w:highlight w:val="none"/>
        </w:rPr>
        <w:t>埋深</w:t>
      </w:r>
    </w:p>
    <w:p w14:paraId="49CB885E">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firstLineChars="200"/>
        <w:textAlignment w:val="auto"/>
        <w:rPr>
          <w:rFonts w:hint="eastAsia"/>
          <w:color w:val="auto"/>
          <w:highlight w:val="none"/>
        </w:rPr>
      </w:pPr>
      <w:r>
        <w:rPr>
          <w:color w:val="auto"/>
          <w:highlight w:val="none"/>
        </w:rPr>
        <w:t>当施工期间的地下水位高于暗管铺设位置时，</w:t>
      </w:r>
      <w:r>
        <w:rPr>
          <w:rFonts w:hint="eastAsia"/>
          <w:color w:val="auto"/>
          <w:highlight w:val="none"/>
        </w:rPr>
        <w:t>应</w:t>
      </w:r>
      <w:r>
        <w:rPr>
          <w:color w:val="auto"/>
          <w:highlight w:val="none"/>
        </w:rPr>
        <w:t>进行预先降低地下水位和临时支护措施保证在不受地下水影响条件下施工。受条件限制时，也可以先挖至接近地下水位置，再分段抽排降低地下水位并抢挖至设计深度。</w:t>
      </w:r>
    </w:p>
    <w:p w14:paraId="145689DE">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textAlignment w:val="auto"/>
        <w:rPr>
          <w:rFonts w:hint="eastAsia"/>
          <w:color w:val="auto"/>
          <w:szCs w:val="20"/>
          <w:highlight w:val="none"/>
        </w:rPr>
      </w:pPr>
      <w:r>
        <w:rPr>
          <w:rFonts w:hint="eastAsia" w:ascii="黑体" w:hAnsi="黑体" w:eastAsia="黑体" w:cs="黑体"/>
          <w:color w:val="auto"/>
          <w:sz w:val="21"/>
          <w:szCs w:val="21"/>
          <w:highlight w:val="none"/>
          <w:lang w:val="en-US" w:eastAsia="zh-CN" w:bidi="ar-SA"/>
        </w:rPr>
        <w:t>7.2.3 一级暗</w:t>
      </w:r>
      <w:r>
        <w:rPr>
          <w:rFonts w:hint="eastAsia" w:ascii="黑体" w:hAnsi="黑体" w:eastAsia="黑体" w:cs="黑体"/>
          <w:color w:val="auto"/>
          <w:highlight w:val="none"/>
        </w:rPr>
        <w:t>管排水施工工序</w:t>
      </w:r>
    </w:p>
    <w:p w14:paraId="7CF22910">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firstLineChars="200"/>
        <w:textAlignment w:val="auto"/>
        <w:rPr>
          <w:rFonts w:hint="eastAsia"/>
          <w:color w:val="auto"/>
          <w:highlight w:val="none"/>
        </w:rPr>
      </w:pPr>
      <w:r>
        <w:rPr>
          <w:rFonts w:hint="eastAsia"/>
          <w:color w:val="auto"/>
          <w:szCs w:val="20"/>
          <w:highlight w:val="none"/>
        </w:rPr>
        <w:t>一级</w:t>
      </w:r>
      <w:r>
        <w:rPr>
          <w:color w:val="auto"/>
          <w:highlight w:val="none"/>
        </w:rPr>
        <w:t>暗管</w:t>
      </w:r>
      <w:r>
        <w:rPr>
          <w:rFonts w:hint="eastAsia"/>
          <w:color w:val="auto"/>
          <w:highlight w:val="none"/>
        </w:rPr>
        <w:t>排水</w:t>
      </w:r>
      <w:r>
        <w:rPr>
          <w:color w:val="auto"/>
          <w:highlight w:val="none"/>
        </w:rPr>
        <w:t>施工</w:t>
      </w:r>
      <w:r>
        <w:rPr>
          <w:rFonts w:hint="eastAsia"/>
          <w:color w:val="auto"/>
          <w:highlight w:val="none"/>
        </w:rPr>
        <w:t>应</w:t>
      </w:r>
      <w:r>
        <w:rPr>
          <w:color w:val="auto"/>
          <w:highlight w:val="none"/>
        </w:rPr>
        <w:t>按定位放样、</w:t>
      </w:r>
      <w:r>
        <w:rPr>
          <w:rFonts w:hint="eastAsia"/>
          <w:color w:val="auto"/>
          <w:highlight w:val="none"/>
        </w:rPr>
        <w:t>包裹吸水管外包料、</w:t>
      </w:r>
      <w:r>
        <w:rPr>
          <w:color w:val="auto"/>
          <w:highlight w:val="none"/>
        </w:rPr>
        <w:t>开挖管槽、</w:t>
      </w:r>
      <w:r>
        <w:rPr>
          <w:rFonts w:hint="eastAsia"/>
          <w:color w:val="auto"/>
          <w:highlight w:val="none"/>
        </w:rPr>
        <w:t>填放反滤料</w:t>
      </w:r>
      <w:r>
        <w:rPr>
          <w:color w:val="auto"/>
          <w:highlight w:val="none"/>
        </w:rPr>
        <w:t>、</w:t>
      </w:r>
      <w:r>
        <w:rPr>
          <w:rFonts w:hint="eastAsia"/>
          <w:color w:val="auto"/>
          <w:highlight w:val="none"/>
        </w:rPr>
        <w:t>铺设吸水管、</w:t>
      </w:r>
      <w:r>
        <w:rPr>
          <w:color w:val="auto"/>
          <w:highlight w:val="none"/>
        </w:rPr>
        <w:t>局部回填、管槽回填、出口处理和附属建筑物施工等工序进行</w:t>
      </w:r>
      <w:r>
        <w:rPr>
          <w:rFonts w:hint="eastAsia"/>
          <w:color w:val="auto"/>
          <w:highlight w:val="none"/>
        </w:rPr>
        <w:t>。</w:t>
      </w:r>
      <w:r>
        <w:rPr>
          <w:color w:val="auto"/>
          <w:highlight w:val="none"/>
        </w:rPr>
        <w:t>每道工序经</w:t>
      </w:r>
      <w:r>
        <w:rPr>
          <w:rFonts w:hint="eastAsia"/>
          <w:color w:val="auto"/>
          <w:highlight w:val="none"/>
        </w:rPr>
        <w:t>现场检验</w:t>
      </w:r>
      <w:r>
        <w:rPr>
          <w:color w:val="auto"/>
          <w:highlight w:val="none"/>
        </w:rPr>
        <w:t>合格后，进行下道工序的施工。</w:t>
      </w:r>
    </w:p>
    <w:p w14:paraId="708CA003">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7.2.4 多级暗管</w:t>
      </w:r>
      <w:r>
        <w:rPr>
          <w:rFonts w:hint="eastAsia" w:ascii="黑体" w:hAnsi="黑体" w:eastAsia="黑体" w:cs="黑体"/>
          <w:color w:val="auto"/>
          <w:highlight w:val="none"/>
        </w:rPr>
        <w:t>排水施工工序</w:t>
      </w:r>
      <w:r>
        <w:rPr>
          <w:rFonts w:hint="eastAsia"/>
          <w:color w:val="auto"/>
          <w:highlight w:val="none"/>
        </w:rPr>
        <w:t xml:space="preserve"> </w:t>
      </w:r>
    </w:p>
    <w:p w14:paraId="52730B62">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firstLineChars="200"/>
        <w:textAlignment w:val="auto"/>
        <w:rPr>
          <w:rFonts w:hint="eastAsia"/>
          <w:color w:val="auto"/>
          <w:highlight w:val="none"/>
        </w:rPr>
      </w:pPr>
      <w:r>
        <w:rPr>
          <w:rFonts w:hint="eastAsia"/>
          <w:color w:val="auto"/>
          <w:highlight w:val="none"/>
        </w:rPr>
        <w:t>多级暗管排水系统的施工顺序为先进行末级集水管、检查井（连接井）、集水井（抽水泵站）的施工，再进行吸水管的铺设施工。暗管管道从开挖至回填宜在无雨日内连续完成。</w:t>
      </w:r>
    </w:p>
    <w:p w14:paraId="5CFD5A2F">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7.2.5 管线</w:t>
      </w:r>
      <w:r>
        <w:rPr>
          <w:rFonts w:hint="eastAsia" w:ascii="黑体" w:hAnsi="黑体" w:eastAsia="黑体" w:cs="黑体"/>
          <w:color w:val="auto"/>
          <w:highlight w:val="none"/>
        </w:rPr>
        <w:t>比降</w:t>
      </w:r>
    </w:p>
    <w:p w14:paraId="56F9F88E">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firstLineChars="200"/>
        <w:textAlignment w:val="auto"/>
        <w:rPr>
          <w:rFonts w:hint="eastAsia"/>
          <w:color w:val="auto"/>
          <w:highlight w:val="none"/>
        </w:rPr>
      </w:pPr>
      <w:r>
        <w:rPr>
          <w:rFonts w:hint="eastAsia"/>
          <w:color w:val="auto"/>
          <w:highlight w:val="none"/>
        </w:rPr>
        <w:t>管道施工应</w:t>
      </w:r>
      <w:r>
        <w:rPr>
          <w:color w:val="auto"/>
          <w:highlight w:val="none"/>
        </w:rPr>
        <w:t>按设计深度和纵向比降开挖管槽。管道接头应牢固，不得脱节变位。管身铺设平稳、顺直，不得起伏或扭曲。</w:t>
      </w:r>
    </w:p>
    <w:p w14:paraId="0AB10183">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7.2.6 管道土</w:t>
      </w:r>
      <w:r>
        <w:rPr>
          <w:rFonts w:hint="eastAsia" w:ascii="黑体" w:hAnsi="黑体" w:eastAsia="黑体" w:cs="黑体"/>
          <w:color w:val="auto"/>
          <w:highlight w:val="none"/>
        </w:rPr>
        <w:t>方回填</w:t>
      </w:r>
    </w:p>
    <w:p w14:paraId="675A265E">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firstLineChars="200"/>
        <w:textAlignment w:val="auto"/>
        <w:rPr>
          <w:rFonts w:hint="eastAsia"/>
          <w:color w:val="auto"/>
          <w:highlight w:val="none"/>
        </w:rPr>
      </w:pPr>
      <w:r>
        <w:rPr>
          <w:color w:val="auto"/>
          <w:highlight w:val="none"/>
        </w:rPr>
        <w:t>管沟回填土应分层夯实，避免架空造成工后塌陷。严禁用淤泥回填，并宜将原耕作土回填在表层，且略高于地面。</w:t>
      </w:r>
    </w:p>
    <w:p w14:paraId="7C770F4B">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7.2.7 附属建筑</w:t>
      </w:r>
      <w:r>
        <w:rPr>
          <w:rFonts w:hint="eastAsia" w:ascii="黑体" w:hAnsi="黑体" w:eastAsia="黑体" w:cs="黑体"/>
          <w:color w:val="auto"/>
          <w:highlight w:val="none"/>
        </w:rPr>
        <w:t>物施工</w:t>
      </w:r>
    </w:p>
    <w:p w14:paraId="748418E8">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firstLineChars="200"/>
        <w:textAlignment w:val="auto"/>
        <w:rPr>
          <w:rFonts w:hint="eastAsia"/>
          <w:color w:val="auto"/>
          <w:highlight w:val="none"/>
        </w:rPr>
      </w:pPr>
      <w:r>
        <w:rPr>
          <w:color w:val="auto"/>
          <w:highlight w:val="none"/>
        </w:rPr>
        <w:t>应确保地埋管道上的附属建筑物与埋管衔接的质量，</w:t>
      </w:r>
      <w:r>
        <w:rPr>
          <w:rFonts w:hint="eastAsia"/>
          <w:color w:val="auto"/>
          <w:highlight w:val="none"/>
        </w:rPr>
        <w:t>附属建筑物在</w:t>
      </w:r>
      <w:r>
        <w:rPr>
          <w:color w:val="auto"/>
          <w:highlight w:val="none"/>
        </w:rPr>
        <w:t>管底高程以下</w:t>
      </w:r>
      <w:r>
        <w:rPr>
          <w:rFonts w:hint="eastAsia"/>
          <w:color w:val="auto"/>
          <w:highlight w:val="none"/>
        </w:rPr>
        <w:t>的</w:t>
      </w:r>
      <w:r>
        <w:rPr>
          <w:color w:val="auto"/>
          <w:highlight w:val="none"/>
        </w:rPr>
        <w:t>部分</w:t>
      </w:r>
      <w:r>
        <w:rPr>
          <w:rFonts w:hint="eastAsia"/>
          <w:color w:val="auto"/>
          <w:highlight w:val="none"/>
        </w:rPr>
        <w:t>施工</w:t>
      </w:r>
      <w:r>
        <w:rPr>
          <w:color w:val="auto"/>
          <w:highlight w:val="none"/>
        </w:rPr>
        <w:t>应在铺管前完成，或与铺管同时施工。</w:t>
      </w:r>
    </w:p>
    <w:p w14:paraId="71C8D931">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textAlignment w:val="auto"/>
        <w:rPr>
          <w:color w:val="auto"/>
          <w:highlight w:val="none"/>
        </w:rPr>
      </w:pPr>
      <w:r>
        <w:rPr>
          <w:rFonts w:hint="eastAsia" w:ascii="黑体" w:hAnsi="黑体" w:eastAsia="黑体" w:cs="黑体"/>
          <w:color w:val="auto"/>
          <w:sz w:val="21"/>
          <w:szCs w:val="21"/>
          <w:highlight w:val="none"/>
          <w:lang w:val="en-US" w:eastAsia="zh-CN" w:bidi="ar-SA"/>
        </w:rPr>
        <w:t>7.2.8 暗管铺设</w:t>
      </w:r>
      <w:r>
        <w:rPr>
          <w:rFonts w:hint="eastAsia" w:ascii="黑体" w:hAnsi="黑体" w:eastAsia="黑体" w:cs="黑体"/>
          <w:color w:val="auto"/>
          <w:highlight w:val="none"/>
        </w:rPr>
        <w:t>施工技术指标</w:t>
      </w:r>
    </w:p>
    <w:p w14:paraId="0307A291">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textAlignment w:val="auto"/>
        <w:rPr>
          <w:rFonts w:hint="eastAsia"/>
          <w:color w:val="auto"/>
          <w:highlight w:val="none"/>
        </w:rPr>
      </w:pPr>
      <w:r>
        <w:rPr>
          <w:rFonts w:hint="eastAsia"/>
          <w:color w:val="auto"/>
          <w:highlight w:val="none"/>
        </w:rPr>
        <w:t>管道</w:t>
      </w:r>
      <w:r>
        <w:rPr>
          <w:color w:val="auto"/>
          <w:highlight w:val="none"/>
        </w:rPr>
        <w:t>末端高程与设计高程的偏差幅度</w:t>
      </w:r>
      <w:r>
        <w:rPr>
          <w:rFonts w:hint="eastAsia"/>
          <w:color w:val="auto"/>
          <w:highlight w:val="none"/>
        </w:rPr>
        <w:t>为</w:t>
      </w:r>
      <w:r>
        <w:rPr>
          <w:color w:val="auto"/>
          <w:highlight w:val="none"/>
        </w:rPr>
        <w:t>±5cm</w:t>
      </w:r>
      <w:r>
        <w:rPr>
          <w:rFonts w:hint="eastAsia"/>
          <w:color w:val="auto"/>
          <w:highlight w:val="none"/>
        </w:rPr>
        <w:t>，且管线埋深高程的波动范围应不超过管径的1/2。</w:t>
      </w:r>
    </w:p>
    <w:p w14:paraId="50852F35">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textAlignment w:val="auto"/>
        <w:rPr>
          <w:rFonts w:hint="eastAsia"/>
          <w:color w:val="auto"/>
          <w:highlight w:val="none"/>
        </w:rPr>
      </w:pPr>
      <w:r>
        <w:rPr>
          <w:rFonts w:hint="eastAsia"/>
          <w:color w:val="auto"/>
          <w:highlight w:val="none"/>
        </w:rPr>
        <w:t>管道比降</w:t>
      </w:r>
      <w:r>
        <w:rPr>
          <w:color w:val="auto"/>
          <w:highlight w:val="none"/>
        </w:rPr>
        <w:t>最大可容许偏离</w:t>
      </w:r>
      <w:r>
        <w:rPr>
          <w:rFonts w:hint="eastAsia"/>
          <w:color w:val="auto"/>
          <w:highlight w:val="none"/>
        </w:rPr>
        <w:t>为</w:t>
      </w:r>
      <w:r>
        <w:rPr>
          <w:color w:val="auto"/>
          <w:highlight w:val="none"/>
        </w:rPr>
        <w:t>设计</w:t>
      </w:r>
      <w:r>
        <w:rPr>
          <w:rFonts w:hint="eastAsia"/>
          <w:color w:val="auto"/>
          <w:highlight w:val="none"/>
        </w:rPr>
        <w:t>比降的</w:t>
      </w:r>
      <w:r>
        <w:rPr>
          <w:color w:val="auto"/>
          <w:highlight w:val="none"/>
        </w:rPr>
        <w:t>±10%，当误差超过±1/2时</w:t>
      </w:r>
      <w:r>
        <w:rPr>
          <w:rFonts w:hint="eastAsia"/>
          <w:color w:val="auto"/>
          <w:highlight w:val="none"/>
        </w:rPr>
        <w:t>，</w:t>
      </w:r>
      <w:r>
        <w:rPr>
          <w:color w:val="auto"/>
          <w:highlight w:val="none"/>
        </w:rPr>
        <w:t>应及时</w:t>
      </w:r>
      <w:r>
        <w:rPr>
          <w:rFonts w:hint="eastAsia"/>
          <w:color w:val="auto"/>
          <w:highlight w:val="none"/>
        </w:rPr>
        <w:t>修</w:t>
      </w:r>
      <w:r>
        <w:rPr>
          <w:color w:val="auto"/>
          <w:highlight w:val="none"/>
        </w:rPr>
        <w:t>正</w:t>
      </w:r>
      <w:r>
        <w:rPr>
          <w:rFonts w:hint="eastAsia"/>
          <w:color w:val="auto"/>
          <w:highlight w:val="none"/>
        </w:rPr>
        <w:t>后</w:t>
      </w:r>
      <w:r>
        <w:rPr>
          <w:color w:val="auto"/>
          <w:highlight w:val="none"/>
        </w:rPr>
        <w:t>再进行作业</w:t>
      </w:r>
      <w:r>
        <w:rPr>
          <w:rFonts w:hint="eastAsia"/>
          <w:color w:val="auto"/>
          <w:highlight w:val="none"/>
        </w:rPr>
        <w:t>。</w:t>
      </w:r>
    </w:p>
    <w:p w14:paraId="62645F44">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textAlignment w:val="auto"/>
        <w:rPr>
          <w:rFonts w:hint="eastAsia"/>
          <w:color w:val="auto"/>
          <w:highlight w:val="none"/>
        </w:rPr>
      </w:pPr>
      <w:r>
        <w:rPr>
          <w:rFonts w:hint="eastAsia"/>
          <w:color w:val="auto"/>
          <w:highlight w:val="none"/>
        </w:rPr>
        <w:t>相邻</w:t>
      </w:r>
      <w:r>
        <w:rPr>
          <w:color w:val="auto"/>
          <w:highlight w:val="none"/>
        </w:rPr>
        <w:t>吸水管间距最大容许控制</w:t>
      </w:r>
      <w:r>
        <w:rPr>
          <w:rFonts w:hint="eastAsia"/>
          <w:color w:val="auto"/>
          <w:highlight w:val="none"/>
        </w:rPr>
        <w:t>为</w:t>
      </w:r>
      <w:r>
        <w:rPr>
          <w:color w:val="auto"/>
          <w:highlight w:val="none"/>
        </w:rPr>
        <w:t>设计值±40cm。</w:t>
      </w:r>
    </w:p>
    <w:p w14:paraId="78D79672">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7.2.9 吸水管</w:t>
      </w:r>
      <w:r>
        <w:rPr>
          <w:rFonts w:hint="eastAsia" w:ascii="黑体" w:hAnsi="黑体" w:eastAsia="黑体" w:cs="黑体"/>
          <w:color w:val="auto"/>
          <w:highlight w:val="none"/>
        </w:rPr>
        <w:t>和排水管出口施工要求</w:t>
      </w:r>
    </w:p>
    <w:p w14:paraId="32FF2554">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textAlignment w:val="auto"/>
        <w:rPr>
          <w:rFonts w:hint="eastAsia"/>
          <w:color w:val="auto"/>
          <w:highlight w:val="none"/>
        </w:rPr>
      </w:pPr>
      <w:r>
        <w:rPr>
          <w:rFonts w:hint="eastAsia"/>
          <w:color w:val="auto"/>
          <w:highlight w:val="none"/>
        </w:rPr>
        <w:t>应</w:t>
      </w:r>
      <w:r>
        <w:rPr>
          <w:color w:val="auto"/>
          <w:highlight w:val="none"/>
        </w:rPr>
        <w:t>按设计图纸进行排水管出口防护建筑物的施工</w:t>
      </w:r>
      <w:r>
        <w:rPr>
          <w:rFonts w:hint="eastAsia"/>
          <w:color w:val="auto"/>
          <w:highlight w:val="none"/>
        </w:rPr>
        <w:t>。</w:t>
      </w:r>
    </w:p>
    <w:p w14:paraId="10E4ED34">
      <w:pPr>
        <w:pStyle w:val="117"/>
        <w:keepNext w:val="0"/>
        <w:keepLines w:val="0"/>
        <w:pageBreakBefore w:val="0"/>
        <w:widowControl/>
        <w:numPr>
          <w:ilvl w:val="2"/>
          <w:numId w:val="0"/>
        </w:numPr>
        <w:kinsoku/>
        <w:wordWrap/>
        <w:overflowPunct/>
        <w:topLinePunct w:val="0"/>
        <w:autoSpaceDE/>
        <w:autoSpaceDN/>
        <w:bidi w:val="0"/>
        <w:adjustRightInd/>
        <w:snapToGrid/>
        <w:spacing w:line="240" w:lineRule="auto"/>
        <w:ind w:firstLine="420"/>
        <w:textAlignment w:val="auto"/>
        <w:rPr>
          <w:color w:val="auto"/>
          <w:szCs w:val="20"/>
          <w:highlight w:val="none"/>
        </w:rPr>
      </w:pPr>
      <w:r>
        <w:rPr>
          <w:color w:val="auto"/>
          <w:highlight w:val="none"/>
        </w:rPr>
        <w:t>在排水管出口处排水沟道附近做地面标志，警</w:t>
      </w:r>
      <w:r>
        <w:rPr>
          <w:rFonts w:hint="eastAsia"/>
          <w:color w:val="auto"/>
          <w:highlight w:val="none"/>
        </w:rPr>
        <w:t>示</w:t>
      </w:r>
      <w:r>
        <w:rPr>
          <w:color w:val="auto"/>
          <w:highlight w:val="none"/>
        </w:rPr>
        <w:t>农田排水沟道治理工程及其他相关工程施工中注意保护暗管出口建筑物。</w:t>
      </w:r>
    </w:p>
    <w:bookmarkEnd w:id="346"/>
    <w:bookmarkEnd w:id="347"/>
    <w:bookmarkEnd w:id="348"/>
    <w:bookmarkEnd w:id="349"/>
    <w:bookmarkEnd w:id="350"/>
    <w:bookmarkEnd w:id="351"/>
    <w:p w14:paraId="0C656DA3">
      <w:pPr>
        <w:pStyle w:val="71"/>
        <w:rPr>
          <w:rFonts w:hint="eastAsia"/>
          <w:color w:val="auto"/>
          <w:highlight w:val="none"/>
        </w:rPr>
      </w:pPr>
      <w:r>
        <w:rPr>
          <w:rFonts w:hint="eastAsia"/>
          <w:color w:val="auto"/>
          <w:highlight w:val="none"/>
        </w:rPr>
        <w:t>吸水管施工</w:t>
      </w:r>
    </w:p>
    <w:p w14:paraId="164F5DA0">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7.3.1 施工</w:t>
      </w:r>
      <w:r>
        <w:rPr>
          <w:rFonts w:hint="eastAsia" w:ascii="黑体" w:hAnsi="黑体" w:eastAsia="黑体" w:cs="黑体"/>
          <w:color w:val="auto"/>
          <w:highlight w:val="none"/>
        </w:rPr>
        <w:t>方式</w:t>
      </w:r>
      <w:r>
        <w:rPr>
          <w:rFonts w:hint="eastAsia"/>
          <w:color w:val="auto"/>
          <w:highlight w:val="none"/>
        </w:rPr>
        <w:t xml:space="preserve"> </w:t>
      </w:r>
    </w:p>
    <w:p w14:paraId="57245711">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应采用暗管排水工程专用的链刀式开沟铺管机进行吸水管铺设施工。</w:t>
      </w:r>
    </w:p>
    <w:p w14:paraId="396EC097">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sz w:val="21"/>
          <w:szCs w:val="21"/>
          <w:highlight w:val="none"/>
          <w:lang w:val="en-US" w:eastAsia="zh-CN" w:bidi="ar-SA"/>
        </w:rPr>
        <w:t>7.3.2 机械施</w:t>
      </w:r>
      <w:r>
        <w:rPr>
          <w:rFonts w:hint="eastAsia" w:ascii="黑体" w:hAnsi="黑体" w:eastAsia="黑体" w:cs="黑体"/>
          <w:color w:val="auto"/>
          <w:highlight w:val="none"/>
        </w:rPr>
        <w:t>工要求</w:t>
      </w:r>
    </w:p>
    <w:p w14:paraId="47955458">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textAlignment w:val="auto"/>
        <w:rPr>
          <w:rFonts w:hint="eastAsia"/>
          <w:color w:val="auto"/>
          <w:highlight w:val="none"/>
        </w:rPr>
      </w:pPr>
      <w:r>
        <w:rPr>
          <w:color w:val="auto"/>
          <w:highlight w:val="none"/>
        </w:rPr>
        <w:t>开沟铺管机应自暗管末端（下游）开始至暗管首端（上游）铺设管道</w:t>
      </w:r>
      <w:r>
        <w:rPr>
          <w:rFonts w:hint="eastAsia"/>
          <w:color w:val="auto"/>
          <w:highlight w:val="none"/>
        </w:rPr>
        <w:t>。</w:t>
      </w:r>
    </w:p>
    <w:p w14:paraId="17F4A264">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textAlignment w:val="auto"/>
        <w:rPr>
          <w:rFonts w:hint="eastAsia"/>
          <w:color w:val="auto"/>
          <w:highlight w:val="none"/>
        </w:rPr>
      </w:pPr>
      <w:r>
        <w:rPr>
          <w:color w:val="auto"/>
          <w:highlight w:val="none"/>
        </w:rPr>
        <w:t>开沟铺管机在起始点开挖达到设计深度后，接收激光制导仪信号，并按设计比降进行铺设</w:t>
      </w:r>
      <w:r>
        <w:rPr>
          <w:rFonts w:hint="eastAsia"/>
          <w:color w:val="auto"/>
          <w:highlight w:val="none"/>
        </w:rPr>
        <w:t>。</w:t>
      </w:r>
    </w:p>
    <w:p w14:paraId="11908A61">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textAlignment w:val="auto"/>
        <w:rPr>
          <w:color w:val="auto"/>
          <w:highlight w:val="none"/>
        </w:rPr>
      </w:pPr>
      <w:r>
        <w:rPr>
          <w:color w:val="auto"/>
          <w:highlight w:val="none"/>
        </w:rPr>
        <w:t>开沟铺管机作业过程中，质检员应每隔</w:t>
      </w:r>
      <w:r>
        <w:rPr>
          <w:rFonts w:hint="eastAsia"/>
          <w:color w:val="auto"/>
          <w:highlight w:val="none"/>
        </w:rPr>
        <w:t>一定距离抽</w:t>
      </w:r>
      <w:r>
        <w:rPr>
          <w:color w:val="auto"/>
          <w:highlight w:val="none"/>
        </w:rPr>
        <w:t>查一次暗管高程和砂滤料的厚度</w:t>
      </w:r>
      <w:r>
        <w:rPr>
          <w:rFonts w:hint="eastAsia"/>
          <w:color w:val="auto"/>
          <w:highlight w:val="none"/>
        </w:rPr>
        <w:t>，</w:t>
      </w:r>
      <w:r>
        <w:rPr>
          <w:color w:val="auto"/>
          <w:highlight w:val="none"/>
        </w:rPr>
        <w:t>如果发生断管，应立即</w:t>
      </w:r>
      <w:r>
        <w:rPr>
          <w:rFonts w:hint="eastAsia"/>
          <w:color w:val="auto"/>
          <w:highlight w:val="none"/>
        </w:rPr>
        <w:t>叫</w:t>
      </w:r>
      <w:r>
        <w:rPr>
          <w:color w:val="auto"/>
          <w:highlight w:val="none"/>
        </w:rPr>
        <w:t>停作业，</w:t>
      </w:r>
      <w:r>
        <w:rPr>
          <w:rFonts w:hint="eastAsia"/>
          <w:color w:val="auto"/>
          <w:highlight w:val="none"/>
        </w:rPr>
        <w:t>待</w:t>
      </w:r>
      <w:r>
        <w:rPr>
          <w:color w:val="auto"/>
          <w:highlight w:val="none"/>
        </w:rPr>
        <w:t>人工接续断管，重新填实滤料层</w:t>
      </w:r>
      <w:r>
        <w:rPr>
          <w:rFonts w:hint="eastAsia"/>
          <w:color w:val="auto"/>
          <w:highlight w:val="none"/>
        </w:rPr>
        <w:t>后</w:t>
      </w:r>
      <w:r>
        <w:rPr>
          <w:color w:val="auto"/>
          <w:highlight w:val="none"/>
        </w:rPr>
        <w:t>，再继续施工</w:t>
      </w:r>
      <w:r>
        <w:rPr>
          <w:rFonts w:hint="eastAsia"/>
          <w:color w:val="auto"/>
          <w:highlight w:val="none"/>
        </w:rPr>
        <w:t>。</w:t>
      </w:r>
    </w:p>
    <w:p w14:paraId="39367318">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textAlignment w:val="auto"/>
        <w:rPr>
          <w:rFonts w:hint="eastAsia"/>
          <w:color w:val="auto"/>
          <w:highlight w:val="none"/>
        </w:rPr>
      </w:pPr>
      <w:r>
        <w:rPr>
          <w:color w:val="auto"/>
          <w:highlight w:val="none"/>
        </w:rPr>
        <w:t>开沟铺管机行驶过程中要保持管箱始终处于水平</w:t>
      </w:r>
      <w:r>
        <w:rPr>
          <w:rFonts w:hint="eastAsia"/>
          <w:color w:val="auto"/>
          <w:highlight w:val="none"/>
        </w:rPr>
        <w:t>状态</w:t>
      </w:r>
      <w:r>
        <w:rPr>
          <w:color w:val="auto"/>
          <w:highlight w:val="none"/>
        </w:rPr>
        <w:t>，不可上下浮动</w:t>
      </w:r>
      <w:r>
        <w:rPr>
          <w:rFonts w:hint="eastAsia"/>
          <w:color w:val="auto"/>
          <w:highlight w:val="none"/>
        </w:rPr>
        <w:t>，</w:t>
      </w:r>
      <w:r>
        <w:rPr>
          <w:color w:val="auto"/>
          <w:highlight w:val="none"/>
        </w:rPr>
        <w:t>遇到地形起伏较大区域，</w:t>
      </w:r>
      <w:r>
        <w:rPr>
          <w:rFonts w:hint="eastAsia"/>
          <w:color w:val="auto"/>
          <w:highlight w:val="none"/>
        </w:rPr>
        <w:t>应降低</w:t>
      </w:r>
      <w:r>
        <w:rPr>
          <w:color w:val="auto"/>
          <w:highlight w:val="none"/>
        </w:rPr>
        <w:t>作业速度</w:t>
      </w:r>
      <w:r>
        <w:rPr>
          <w:rFonts w:hint="eastAsia"/>
          <w:color w:val="auto"/>
          <w:highlight w:val="none"/>
        </w:rPr>
        <w:t>。</w:t>
      </w:r>
    </w:p>
    <w:p w14:paraId="5031EC41">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textAlignment w:val="auto"/>
        <w:rPr>
          <w:rFonts w:hint="eastAsia"/>
          <w:color w:val="auto"/>
          <w:highlight w:val="none"/>
        </w:rPr>
      </w:pPr>
      <w:r>
        <w:rPr>
          <w:color w:val="auto"/>
          <w:highlight w:val="none"/>
        </w:rPr>
        <w:t>采用激光坡度仪控制暗管铺设坡度</w:t>
      </w:r>
      <w:r>
        <w:rPr>
          <w:rFonts w:hint="eastAsia"/>
          <w:color w:val="auto"/>
          <w:highlight w:val="none"/>
        </w:rPr>
        <w:t>时</w:t>
      </w:r>
      <w:r>
        <w:rPr>
          <w:color w:val="auto"/>
          <w:highlight w:val="none"/>
        </w:rPr>
        <w:t>，作业前应按照暗管设计坡度设定激光坡度仪坡度激光坡度仪应架设于土质坚实的地面上，应尽可能避免风</w:t>
      </w:r>
      <w:r>
        <w:rPr>
          <w:rFonts w:hint="eastAsia"/>
          <w:color w:val="auto"/>
          <w:highlight w:val="none"/>
        </w:rPr>
        <w:t>力</w:t>
      </w:r>
      <w:r>
        <w:rPr>
          <w:color w:val="auto"/>
          <w:highlight w:val="none"/>
        </w:rPr>
        <w:t>对激光坡度仪发射信号的影响</w:t>
      </w:r>
      <w:r>
        <w:rPr>
          <w:rFonts w:hint="eastAsia"/>
          <w:color w:val="auto"/>
          <w:highlight w:val="none"/>
        </w:rPr>
        <w:t>。</w:t>
      </w:r>
    </w:p>
    <w:p w14:paraId="6F613F56">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textAlignment w:val="auto"/>
        <w:rPr>
          <w:rFonts w:hint="eastAsia"/>
          <w:color w:val="auto"/>
          <w:highlight w:val="none"/>
        </w:rPr>
      </w:pPr>
      <w:r>
        <w:rPr>
          <w:color w:val="auto"/>
          <w:highlight w:val="none"/>
        </w:rPr>
        <w:t>确保开沟铺管机接收到稳定的信号，严禁手动调整铺管深度</w:t>
      </w:r>
      <w:r>
        <w:rPr>
          <w:rFonts w:hint="eastAsia"/>
          <w:color w:val="auto"/>
          <w:highlight w:val="none"/>
        </w:rPr>
        <w:t>。</w:t>
      </w:r>
    </w:p>
    <w:p w14:paraId="356223F6">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textAlignment w:val="auto"/>
        <w:rPr>
          <w:rFonts w:hint="eastAsia"/>
          <w:color w:val="auto"/>
          <w:highlight w:val="none"/>
        </w:rPr>
      </w:pPr>
      <w:r>
        <w:rPr>
          <w:color w:val="auto"/>
          <w:highlight w:val="none"/>
        </w:rPr>
        <w:t>如遇到强风、阳光、雾、高压线、强磁场等影响激光仪器正常工作的情况，可采取降低激光三脚架高度，缩小发射器与接收器之间的距离等措施保持激光信号的稳定</w:t>
      </w:r>
      <w:r>
        <w:rPr>
          <w:rFonts w:hint="eastAsia"/>
          <w:color w:val="auto"/>
          <w:highlight w:val="none"/>
        </w:rPr>
        <w:t>，</w:t>
      </w:r>
      <w:r>
        <w:rPr>
          <w:color w:val="auto"/>
          <w:highlight w:val="none"/>
        </w:rPr>
        <w:t>应避免两台激光发射器在同一地块同时工作互相干扰</w:t>
      </w:r>
      <w:r>
        <w:rPr>
          <w:rFonts w:hint="eastAsia"/>
          <w:color w:val="auto"/>
          <w:highlight w:val="none"/>
        </w:rPr>
        <w:t>。</w:t>
      </w:r>
    </w:p>
    <w:p w14:paraId="3E390DD0">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textAlignment w:val="auto"/>
        <w:rPr>
          <w:rFonts w:hint="eastAsia"/>
          <w:color w:val="auto"/>
          <w:highlight w:val="none"/>
        </w:rPr>
      </w:pPr>
      <w:r>
        <w:rPr>
          <w:color w:val="auto"/>
          <w:highlight w:val="none"/>
        </w:rPr>
        <w:t>开沟铺管机作业行驶速度</w:t>
      </w:r>
      <w:r>
        <w:rPr>
          <w:rFonts w:hint="eastAsia"/>
          <w:color w:val="auto"/>
          <w:highlight w:val="none"/>
        </w:rPr>
        <w:t>，</w:t>
      </w:r>
      <w:r>
        <w:rPr>
          <w:color w:val="auto"/>
          <w:highlight w:val="none"/>
        </w:rPr>
        <w:t>一般控制在8</w:t>
      </w:r>
      <w:r>
        <w:rPr>
          <w:rFonts w:hint="eastAsia" w:ascii="Times New Roman"/>
          <w:color w:val="auto"/>
          <w:highlight w:val="none"/>
        </w:rPr>
        <w:t>～</w:t>
      </w:r>
      <w:r>
        <w:rPr>
          <w:color w:val="auto"/>
          <w:highlight w:val="none"/>
        </w:rPr>
        <w:t>12m/min为宜，遇到粘土层、胶泥层或白僵土等情况，开挖速度控制在5m/min或更低速度</w:t>
      </w:r>
      <w:r>
        <w:rPr>
          <w:rFonts w:hint="eastAsia"/>
          <w:color w:val="auto"/>
          <w:highlight w:val="none"/>
        </w:rPr>
        <w:t>。在</w:t>
      </w:r>
      <w:r>
        <w:rPr>
          <w:color w:val="auto"/>
          <w:highlight w:val="none"/>
        </w:rPr>
        <w:t>冬季或土层未解冻的春灌前施工时，可适当放慢开行速度</w:t>
      </w:r>
      <w:r>
        <w:rPr>
          <w:rFonts w:hint="eastAsia"/>
          <w:color w:val="auto"/>
          <w:highlight w:val="none"/>
        </w:rPr>
        <w:t>，</w:t>
      </w:r>
      <w:r>
        <w:rPr>
          <w:color w:val="auto"/>
          <w:highlight w:val="none"/>
        </w:rPr>
        <w:t>审慎施工</w:t>
      </w:r>
      <w:r>
        <w:rPr>
          <w:rFonts w:hint="eastAsia"/>
          <w:color w:val="auto"/>
          <w:highlight w:val="none"/>
        </w:rPr>
        <w:t>。</w:t>
      </w:r>
    </w:p>
    <w:p w14:paraId="744192B3">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7.3.3 吸水</w:t>
      </w:r>
      <w:r>
        <w:rPr>
          <w:rFonts w:hint="eastAsia" w:ascii="黑体" w:hAnsi="黑体" w:eastAsia="黑体" w:cs="黑体"/>
          <w:color w:val="auto"/>
          <w:highlight w:val="none"/>
        </w:rPr>
        <w:t>管保护</w:t>
      </w:r>
    </w:p>
    <w:p w14:paraId="3246D406">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吸水管外部应按设计要求包裹外包料。</w:t>
      </w:r>
      <w:r>
        <w:rPr>
          <w:color w:val="auto"/>
          <w:highlight w:val="none"/>
        </w:rPr>
        <w:t>吸水管起始端不设通气孔时，管口应封闭，</w:t>
      </w:r>
      <w:r>
        <w:rPr>
          <w:rFonts w:hint="eastAsia"/>
          <w:color w:val="auto"/>
          <w:highlight w:val="none"/>
        </w:rPr>
        <w:t>起始端</w:t>
      </w:r>
      <w:r>
        <w:rPr>
          <w:color w:val="auto"/>
          <w:highlight w:val="none"/>
        </w:rPr>
        <w:t>距离灌溉渠道应大于</w:t>
      </w:r>
      <w:r>
        <w:rPr>
          <w:rFonts w:hint="eastAsia"/>
          <w:color w:val="auto"/>
          <w:highlight w:val="none"/>
        </w:rPr>
        <w:t>3m</w:t>
      </w:r>
      <w:r>
        <w:rPr>
          <w:rFonts w:hint="eastAsia" w:ascii="Times New Roman"/>
          <w:color w:val="auto"/>
          <w:highlight w:val="none"/>
        </w:rPr>
        <w:t>～</w:t>
      </w:r>
      <w:r>
        <w:rPr>
          <w:rFonts w:hint="eastAsia"/>
          <w:color w:val="auto"/>
          <w:highlight w:val="none"/>
        </w:rPr>
        <w:t>5m</w:t>
      </w:r>
      <w:r>
        <w:rPr>
          <w:color w:val="auto"/>
          <w:highlight w:val="none"/>
        </w:rPr>
        <w:t>。吸水管出口端直接入明沟</w:t>
      </w:r>
      <w:r>
        <w:rPr>
          <w:rFonts w:hint="eastAsia"/>
          <w:color w:val="auto"/>
          <w:highlight w:val="none"/>
        </w:rPr>
        <w:t>（或其他承泄区）</w:t>
      </w:r>
      <w:r>
        <w:rPr>
          <w:color w:val="auto"/>
          <w:highlight w:val="none"/>
        </w:rPr>
        <w:t>的情况，应按设计</w:t>
      </w:r>
      <w:r>
        <w:rPr>
          <w:rFonts w:hint="eastAsia"/>
          <w:color w:val="auto"/>
          <w:highlight w:val="none"/>
        </w:rPr>
        <w:t>要求</w:t>
      </w:r>
      <w:r>
        <w:rPr>
          <w:color w:val="auto"/>
          <w:highlight w:val="none"/>
        </w:rPr>
        <w:t>在吸水管端部采用不透水管材或外套刚性防护管。</w:t>
      </w:r>
    </w:p>
    <w:p w14:paraId="14733896">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7.3.4 吸水管</w:t>
      </w:r>
      <w:r>
        <w:rPr>
          <w:rFonts w:hint="eastAsia" w:ascii="黑体" w:hAnsi="黑体" w:eastAsia="黑体" w:cs="黑体"/>
          <w:color w:val="auto"/>
          <w:highlight w:val="none"/>
        </w:rPr>
        <w:t>管沟土方回填</w:t>
      </w:r>
    </w:p>
    <w:p w14:paraId="63430B80">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吸水管</w:t>
      </w:r>
      <w:r>
        <w:rPr>
          <w:color w:val="auto"/>
          <w:highlight w:val="none"/>
        </w:rPr>
        <w:t>管沟</w:t>
      </w:r>
      <w:r>
        <w:rPr>
          <w:rFonts w:hint="eastAsia"/>
          <w:color w:val="auto"/>
          <w:highlight w:val="none"/>
        </w:rPr>
        <w:t>应</w:t>
      </w:r>
      <w:r>
        <w:rPr>
          <w:color w:val="auto"/>
          <w:highlight w:val="none"/>
        </w:rPr>
        <w:t>采用</w:t>
      </w:r>
      <w:r>
        <w:rPr>
          <w:rFonts w:hint="eastAsia"/>
          <w:color w:val="auto"/>
          <w:highlight w:val="none"/>
        </w:rPr>
        <w:t>开沟铺管机自身的回填装置进行回填，或使用</w:t>
      </w:r>
      <w:r>
        <w:rPr>
          <w:color w:val="auto"/>
          <w:highlight w:val="none"/>
        </w:rPr>
        <w:t>专用合沟机械</w:t>
      </w:r>
      <w:r>
        <w:rPr>
          <w:rFonts w:hint="eastAsia"/>
          <w:color w:val="auto"/>
          <w:highlight w:val="none"/>
        </w:rPr>
        <w:t>进行回填。</w:t>
      </w:r>
    </w:p>
    <w:p w14:paraId="54FDA222">
      <w:pPr>
        <w:pStyle w:val="71"/>
        <w:rPr>
          <w:rFonts w:hint="eastAsia"/>
          <w:color w:val="auto"/>
          <w:highlight w:val="none"/>
        </w:rPr>
      </w:pPr>
      <w:bookmarkStart w:id="352" w:name="_Toc4343"/>
      <w:bookmarkStart w:id="353" w:name="_Toc520709315"/>
      <w:bookmarkStart w:id="354" w:name="_Toc522140512"/>
      <w:bookmarkStart w:id="355" w:name="_Toc520823484"/>
      <w:bookmarkStart w:id="356" w:name="_Toc299889782"/>
      <w:bookmarkStart w:id="357" w:name="_Toc30884"/>
      <w:r>
        <w:rPr>
          <w:rFonts w:hint="eastAsia"/>
          <w:color w:val="auto"/>
          <w:highlight w:val="none"/>
        </w:rPr>
        <w:t>集水管施工</w:t>
      </w:r>
      <w:bookmarkEnd w:id="352"/>
      <w:bookmarkEnd w:id="353"/>
      <w:bookmarkEnd w:id="354"/>
      <w:bookmarkEnd w:id="355"/>
      <w:bookmarkEnd w:id="356"/>
      <w:bookmarkEnd w:id="357"/>
    </w:p>
    <w:p w14:paraId="04A0859B">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7.4.1 管沟开</w:t>
      </w:r>
      <w:r>
        <w:rPr>
          <w:rFonts w:hint="eastAsia" w:ascii="黑体" w:hAnsi="黑体" w:eastAsia="黑体" w:cs="黑体"/>
          <w:color w:val="auto"/>
          <w:highlight w:val="none"/>
        </w:rPr>
        <w:t>挖</w:t>
      </w:r>
      <w:r>
        <w:rPr>
          <w:rFonts w:hint="eastAsia"/>
          <w:color w:val="auto"/>
          <w:highlight w:val="none"/>
        </w:rPr>
        <w:t xml:space="preserve"> </w:t>
      </w:r>
    </w:p>
    <w:p w14:paraId="5E607712">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color w:val="auto"/>
          <w:highlight w:val="none"/>
        </w:rPr>
        <w:t>采取机械开挖</w:t>
      </w:r>
      <w:r>
        <w:rPr>
          <w:rFonts w:hint="eastAsia"/>
          <w:color w:val="auto"/>
          <w:highlight w:val="none"/>
        </w:rPr>
        <w:t>、</w:t>
      </w:r>
      <w:r>
        <w:rPr>
          <w:color w:val="auto"/>
          <w:highlight w:val="none"/>
        </w:rPr>
        <w:t>人工铺管的方法</w:t>
      </w:r>
      <w:r>
        <w:rPr>
          <w:rFonts w:hint="eastAsia"/>
          <w:color w:val="auto"/>
          <w:highlight w:val="none"/>
        </w:rPr>
        <w:t>进行集水管铺设施工，应根据施工方式、施工现场的具体工况。</w:t>
      </w:r>
    </w:p>
    <w:p w14:paraId="67335E6F">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7.4.2 集水管基</w:t>
      </w:r>
      <w:r>
        <w:rPr>
          <w:rFonts w:hint="eastAsia" w:ascii="黑体" w:hAnsi="黑体" w:eastAsia="黑体" w:cs="黑体"/>
          <w:color w:val="auto"/>
          <w:highlight w:val="none"/>
        </w:rPr>
        <w:t>垫层</w:t>
      </w:r>
    </w:p>
    <w:p w14:paraId="5F19F145">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textAlignment w:val="auto"/>
        <w:rPr>
          <w:rFonts w:hint="eastAsia"/>
          <w:color w:val="auto"/>
          <w:highlight w:val="none"/>
        </w:rPr>
      </w:pPr>
      <w:r>
        <w:rPr>
          <w:color w:val="auto"/>
          <w:highlight w:val="none"/>
        </w:rPr>
        <w:t>铺设集水管的管沟底部应以保证管体稳定为原则</w:t>
      </w:r>
      <w:r>
        <w:rPr>
          <w:rFonts w:hint="eastAsia"/>
          <w:color w:val="auto"/>
          <w:highlight w:val="none"/>
        </w:rPr>
        <w:t>，应将管底基土进行夯实，密实度达到95%以上；</w:t>
      </w:r>
      <w:r>
        <w:rPr>
          <w:color w:val="auto"/>
          <w:highlight w:val="none"/>
        </w:rPr>
        <w:t>铺设管道时管底如遇到软土或局部淤泥土层，应</w:t>
      </w:r>
      <w:r>
        <w:rPr>
          <w:rFonts w:hint="eastAsia"/>
          <w:color w:val="auto"/>
          <w:highlight w:val="none"/>
        </w:rPr>
        <w:t>根据集水管埋管荷载状况</w:t>
      </w:r>
      <w:r>
        <w:rPr>
          <w:color w:val="auto"/>
          <w:highlight w:val="none"/>
        </w:rPr>
        <w:t>采取</w:t>
      </w:r>
      <w:r>
        <w:rPr>
          <w:rFonts w:hint="eastAsia"/>
          <w:color w:val="auto"/>
          <w:highlight w:val="none"/>
        </w:rPr>
        <w:t>适宜的</w:t>
      </w:r>
      <w:r>
        <w:rPr>
          <w:color w:val="auto"/>
          <w:highlight w:val="none"/>
        </w:rPr>
        <w:t>措施设置</w:t>
      </w:r>
      <w:r>
        <w:rPr>
          <w:rFonts w:hint="eastAsia"/>
          <w:color w:val="auto"/>
          <w:highlight w:val="none"/>
        </w:rPr>
        <w:t>加固管基的</w:t>
      </w:r>
      <w:r>
        <w:rPr>
          <w:color w:val="auto"/>
          <w:highlight w:val="none"/>
        </w:rPr>
        <w:t>垫层</w:t>
      </w:r>
      <w:r>
        <w:rPr>
          <w:rFonts w:hint="eastAsia"/>
          <w:color w:val="auto"/>
          <w:highlight w:val="none"/>
        </w:rPr>
        <w:t>。</w:t>
      </w:r>
    </w:p>
    <w:p w14:paraId="7DB4B6D3">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rFonts w:hint="eastAsia" w:ascii="黑体" w:hAnsi="黑体" w:eastAsia="黑体" w:cs="黑体"/>
          <w:color w:val="auto"/>
          <w:highlight w:val="none"/>
        </w:rPr>
      </w:pPr>
      <w:r>
        <w:rPr>
          <w:rFonts w:hint="eastAsia" w:ascii="黑体" w:hAnsi="黑体" w:eastAsia="黑体" w:cs="黑体"/>
          <w:color w:val="auto"/>
          <w:sz w:val="21"/>
          <w:szCs w:val="21"/>
          <w:highlight w:val="none"/>
          <w:lang w:val="en-US" w:eastAsia="zh-CN" w:bidi="ar-SA"/>
        </w:rPr>
        <w:t>7.4.3 集水管</w:t>
      </w:r>
      <w:r>
        <w:rPr>
          <w:rFonts w:hint="eastAsia" w:ascii="黑体" w:hAnsi="黑体" w:eastAsia="黑体" w:cs="黑体"/>
          <w:color w:val="auto"/>
          <w:highlight w:val="none"/>
        </w:rPr>
        <w:t>基垫层要求</w:t>
      </w:r>
    </w:p>
    <w:p w14:paraId="22A813CA">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集水管基垫层设置应按设计文件中管基垫层材料与厚度要求进行施工，开挖后管沟地基</w:t>
      </w:r>
      <w:r>
        <w:rPr>
          <w:rFonts w:hint="eastAsia"/>
          <w:color w:val="auto"/>
          <w:highlight w:val="none"/>
          <w:lang w:val="en-US" w:eastAsia="zh-CN"/>
        </w:rPr>
        <w:t>实际情况与</w:t>
      </w:r>
      <w:r>
        <w:rPr>
          <w:rFonts w:hint="eastAsia"/>
          <w:color w:val="auto"/>
          <w:highlight w:val="none"/>
        </w:rPr>
        <w:t>设计文件</w:t>
      </w:r>
      <w:r>
        <w:rPr>
          <w:rFonts w:hint="eastAsia"/>
          <w:color w:val="auto"/>
          <w:highlight w:val="none"/>
          <w:lang w:val="en-US" w:eastAsia="zh-CN"/>
        </w:rPr>
        <w:t>不符时</w:t>
      </w:r>
      <w:r>
        <w:rPr>
          <w:rFonts w:hint="eastAsia"/>
          <w:color w:val="auto"/>
          <w:highlight w:val="none"/>
        </w:rPr>
        <w:t>，应会同建设、监理及设计单位，变更设计方案。</w:t>
      </w:r>
    </w:p>
    <w:p w14:paraId="080BEEAE">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rFonts w:hint="eastAsia" w:ascii="黑体" w:hAnsi="黑体" w:eastAsia="黑体" w:cs="黑体"/>
          <w:color w:val="auto"/>
          <w:highlight w:val="none"/>
        </w:rPr>
      </w:pPr>
      <w:r>
        <w:rPr>
          <w:rFonts w:hint="eastAsia" w:ascii="黑体" w:hAnsi="黑体" w:eastAsia="黑体" w:cs="黑体"/>
          <w:color w:val="auto"/>
          <w:sz w:val="21"/>
          <w:szCs w:val="21"/>
          <w:highlight w:val="none"/>
          <w:lang w:val="en-US" w:eastAsia="zh-CN" w:bidi="ar-SA"/>
        </w:rPr>
        <w:t>7.4.4 集水管基</w:t>
      </w:r>
      <w:r>
        <w:rPr>
          <w:rFonts w:hint="eastAsia" w:ascii="黑体" w:hAnsi="黑体" w:eastAsia="黑体" w:cs="黑体"/>
          <w:color w:val="auto"/>
          <w:highlight w:val="none"/>
        </w:rPr>
        <w:t>垫层处理</w:t>
      </w:r>
    </w:p>
    <w:p w14:paraId="4413CE2A">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根据集水管埋管荷载状况，结合沟底地层特点，选择下面常见的固基垫层方式</w:t>
      </w:r>
      <w:r>
        <w:rPr>
          <w:color w:val="auto"/>
          <w:highlight w:val="none"/>
        </w:rPr>
        <w:t>保证集水管</w:t>
      </w:r>
      <w:r>
        <w:rPr>
          <w:rFonts w:hint="eastAsia"/>
          <w:color w:val="auto"/>
          <w:highlight w:val="none"/>
        </w:rPr>
        <w:t>纵向</w:t>
      </w:r>
      <w:r>
        <w:rPr>
          <w:color w:val="auto"/>
          <w:highlight w:val="none"/>
        </w:rPr>
        <w:t>管</w:t>
      </w:r>
      <w:r>
        <w:rPr>
          <w:rFonts w:hint="eastAsia"/>
          <w:color w:val="auto"/>
          <w:highlight w:val="none"/>
        </w:rPr>
        <w:t>线平顺与</w:t>
      </w:r>
      <w:r>
        <w:rPr>
          <w:color w:val="auto"/>
          <w:highlight w:val="none"/>
        </w:rPr>
        <w:t>稳定</w:t>
      </w:r>
      <w:r>
        <w:rPr>
          <w:rFonts w:hint="eastAsia"/>
          <w:color w:val="auto"/>
          <w:highlight w:val="none"/>
        </w:rPr>
        <w:t>：三合土固基、水泥固化土、砂砾石换填和其他加固管基的方式。</w:t>
      </w:r>
    </w:p>
    <w:p w14:paraId="1B8ED98A">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7.4.5 集水管</w:t>
      </w:r>
      <w:r>
        <w:rPr>
          <w:rFonts w:hint="eastAsia" w:ascii="黑体" w:hAnsi="黑体" w:eastAsia="黑体" w:cs="黑体"/>
          <w:color w:val="auto"/>
          <w:highlight w:val="none"/>
        </w:rPr>
        <w:t>接驳</w:t>
      </w:r>
    </w:p>
    <w:p w14:paraId="178AF450">
      <w:pPr>
        <w:pStyle w:val="117"/>
        <w:keepNext w:val="0"/>
        <w:keepLines w:val="0"/>
        <w:pageBreakBefore w:val="0"/>
        <w:widowControl/>
        <w:numPr>
          <w:ilvl w:val="2"/>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应采取刚性管道接口承插式胶圈密封、机械式胶圈密封方式或套管式柔性接口方式，接缝施工工艺与作法满足相关规范标准，必须保障接缝处的管底土基承载力满足设计要求。</w:t>
      </w:r>
    </w:p>
    <w:p w14:paraId="4700DD16">
      <w:pPr>
        <w:pStyle w:val="71"/>
        <w:rPr>
          <w:rFonts w:hint="eastAsia"/>
          <w:color w:val="auto"/>
          <w:highlight w:val="none"/>
        </w:rPr>
      </w:pPr>
      <w:bookmarkStart w:id="358" w:name="_Toc522140513"/>
      <w:bookmarkStart w:id="359" w:name="_Toc20544"/>
      <w:bookmarkStart w:id="360" w:name="_Toc520823485"/>
      <w:bookmarkStart w:id="361" w:name="_Toc299889783"/>
      <w:bookmarkStart w:id="362" w:name="_Toc11768"/>
      <w:bookmarkStart w:id="363" w:name="_Toc520709316"/>
      <w:r>
        <w:rPr>
          <w:rFonts w:hint="eastAsia"/>
          <w:color w:val="auto"/>
          <w:highlight w:val="none"/>
        </w:rPr>
        <w:t>检查井、集水井施工</w:t>
      </w:r>
      <w:bookmarkEnd w:id="358"/>
      <w:bookmarkEnd w:id="359"/>
      <w:bookmarkEnd w:id="360"/>
      <w:bookmarkEnd w:id="361"/>
      <w:bookmarkEnd w:id="362"/>
      <w:bookmarkEnd w:id="363"/>
    </w:p>
    <w:p w14:paraId="06EC16E3">
      <w:pPr>
        <w:pStyle w:val="117"/>
        <w:keepNext w:val="0"/>
        <w:keepLines w:val="0"/>
        <w:pageBreakBefore w:val="0"/>
        <w:widowControl/>
        <w:numPr>
          <w:ilvl w:val="2"/>
          <w:numId w:val="0"/>
        </w:numPr>
        <w:kinsoku/>
        <w:wordWrap/>
        <w:overflowPunct/>
        <w:topLinePunct w:val="0"/>
        <w:bidi w:val="0"/>
        <w:adjustRightInd w:val="0"/>
        <w:snapToGrid w:val="0"/>
        <w:spacing w:line="240" w:lineRule="auto"/>
        <w:ind w:firstLine="420"/>
        <w:textAlignment w:val="auto"/>
        <w:rPr>
          <w:color w:val="auto"/>
          <w:highlight w:val="none"/>
        </w:rPr>
      </w:pPr>
      <w:r>
        <w:rPr>
          <w:rFonts w:hint="eastAsia"/>
          <w:color w:val="auto"/>
          <w:highlight w:val="none"/>
        </w:rPr>
        <w:t>检查井和集水井按照设计要求</w:t>
      </w:r>
      <w:r>
        <w:rPr>
          <w:color w:val="auto"/>
          <w:highlight w:val="none"/>
        </w:rPr>
        <w:t>确定井的位置和埋置深度</w:t>
      </w:r>
      <w:r>
        <w:rPr>
          <w:rFonts w:hint="eastAsia"/>
          <w:color w:val="auto"/>
          <w:highlight w:val="none"/>
        </w:rPr>
        <w:t>，</w:t>
      </w:r>
      <w:r>
        <w:rPr>
          <w:color w:val="auto"/>
          <w:highlight w:val="none"/>
        </w:rPr>
        <w:t>井底高程与设计高程的偏差不得超过3cm</w:t>
      </w:r>
      <w:r>
        <w:rPr>
          <w:rFonts w:hint="eastAsia"/>
          <w:color w:val="auto"/>
          <w:highlight w:val="none"/>
        </w:rPr>
        <w:t>。检查井和集水井</w:t>
      </w:r>
      <w:r>
        <w:rPr>
          <w:color w:val="auto"/>
          <w:highlight w:val="none"/>
        </w:rPr>
        <w:t>铅垂方向的倾斜误差不超过1%</w:t>
      </w:r>
      <w:r>
        <w:rPr>
          <w:rFonts w:hint="eastAsia"/>
          <w:color w:val="auto"/>
          <w:highlight w:val="none"/>
        </w:rPr>
        <w:t>。</w:t>
      </w:r>
      <w:r>
        <w:rPr>
          <w:color w:val="auto"/>
          <w:highlight w:val="none"/>
        </w:rPr>
        <w:t>井底部土基应夯实或做垫层，防止不均匀沉陷</w:t>
      </w:r>
      <w:r>
        <w:rPr>
          <w:rFonts w:hint="eastAsia"/>
          <w:color w:val="auto"/>
          <w:highlight w:val="none"/>
        </w:rPr>
        <w:t>。当井底土基承载力不满足要求时，应进行换填处理，在稳固的垫层上安装检查井预制件</w:t>
      </w:r>
      <w:r>
        <w:rPr>
          <w:color w:val="auto"/>
          <w:highlight w:val="none"/>
        </w:rPr>
        <w:t>。</w:t>
      </w:r>
    </w:p>
    <w:p w14:paraId="11CD69BB">
      <w:pPr>
        <w:pStyle w:val="25"/>
        <w:keepNext w:val="0"/>
        <w:keepLines w:val="0"/>
        <w:pageBreakBefore w:val="0"/>
        <w:widowControl/>
        <w:kinsoku/>
        <w:wordWrap/>
        <w:overflowPunct/>
        <w:topLinePunct w:val="0"/>
        <w:bidi w:val="0"/>
        <w:adjustRightInd w:val="0"/>
        <w:snapToGrid w:val="0"/>
        <w:spacing w:line="240" w:lineRule="auto"/>
        <w:ind w:firstLine="420" w:firstLineChars="200"/>
        <w:textAlignment w:val="auto"/>
        <w:rPr>
          <w:color w:val="auto"/>
          <w:highlight w:val="none"/>
        </w:rPr>
      </w:pPr>
      <w:r>
        <w:rPr>
          <w:rFonts w:hint="eastAsia"/>
          <w:color w:val="auto"/>
          <w:highlight w:val="none"/>
        </w:rPr>
        <w:t>对于尺寸较大与埋深较深的混凝土预制集水井筒，建议采用开挖影响小、技术含量高且易控制的沉井法进行施工。</w:t>
      </w:r>
    </w:p>
    <w:p w14:paraId="3828F58F">
      <w:pPr>
        <w:pStyle w:val="71"/>
        <w:rPr>
          <w:rFonts w:hint="eastAsia"/>
          <w:color w:val="auto"/>
          <w:highlight w:val="none"/>
        </w:rPr>
      </w:pPr>
      <w:r>
        <w:rPr>
          <w:rFonts w:hint="eastAsia"/>
          <w:color w:val="auto"/>
          <w:highlight w:val="none"/>
        </w:rPr>
        <w:t>光伏强排泵站施工</w:t>
      </w:r>
    </w:p>
    <w:p w14:paraId="1C6C9535">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420" w:firstLineChars="0"/>
        <w:textAlignment w:val="auto"/>
        <w:rPr>
          <w:rFonts w:hint="eastAsia"/>
          <w:color w:val="auto"/>
          <w:highlight w:val="none"/>
          <w:lang w:eastAsia="zh-CN"/>
        </w:rPr>
      </w:pPr>
      <w:r>
        <w:rPr>
          <w:rFonts w:hint="eastAsia"/>
          <w:color w:val="auto"/>
          <w:highlight w:val="none"/>
        </w:rPr>
        <w:t>光伏</w:t>
      </w:r>
      <w:r>
        <w:rPr>
          <w:color w:val="auto"/>
          <w:highlight w:val="none"/>
        </w:rPr>
        <w:t>强排泵站的施工应严格执行GB/T</w:t>
      </w:r>
      <w:r>
        <w:rPr>
          <w:rFonts w:hint="eastAsia"/>
          <w:color w:val="auto"/>
          <w:highlight w:val="none"/>
          <w:lang w:val="en-US" w:eastAsia="zh-CN"/>
        </w:rPr>
        <w:t xml:space="preserve"> </w:t>
      </w:r>
      <w:r>
        <w:rPr>
          <w:color w:val="auto"/>
          <w:highlight w:val="none"/>
        </w:rPr>
        <w:t>51033、GB/T</w:t>
      </w:r>
      <w:r>
        <w:rPr>
          <w:rFonts w:hint="eastAsia"/>
          <w:color w:val="auto"/>
          <w:highlight w:val="none"/>
          <w:lang w:val="en-US" w:eastAsia="zh-CN"/>
        </w:rPr>
        <w:t xml:space="preserve"> </w:t>
      </w:r>
      <w:r>
        <w:rPr>
          <w:color w:val="auto"/>
          <w:highlight w:val="none"/>
        </w:rPr>
        <w:t>50</w:t>
      </w:r>
      <w:r>
        <w:rPr>
          <w:rFonts w:hint="eastAsia"/>
          <w:color w:val="auto"/>
          <w:highlight w:val="none"/>
          <w:lang w:val="en-US" w:eastAsia="zh-CN"/>
        </w:rPr>
        <w:t>265</w:t>
      </w:r>
      <w:r>
        <w:rPr>
          <w:color w:val="auto"/>
          <w:highlight w:val="none"/>
        </w:rPr>
        <w:t>和</w:t>
      </w:r>
      <w:r>
        <w:rPr>
          <w:rFonts w:hint="eastAsia" w:ascii="Times New Roman"/>
          <w:color w:val="auto"/>
          <w:kern w:val="2"/>
          <w:highlight w:val="none"/>
        </w:rPr>
        <w:t>SL</w:t>
      </w:r>
      <w:r>
        <w:rPr>
          <w:rFonts w:ascii="Times New Roman"/>
          <w:color w:val="auto"/>
          <w:kern w:val="2"/>
          <w:highlight w:val="none"/>
        </w:rPr>
        <w:t xml:space="preserve">/T </w:t>
      </w:r>
      <w:r>
        <w:rPr>
          <w:rFonts w:hint="eastAsia" w:ascii="Times New Roman"/>
          <w:color w:val="auto"/>
          <w:kern w:val="2"/>
          <w:highlight w:val="none"/>
        </w:rPr>
        <w:t>4</w:t>
      </w:r>
      <w:r>
        <w:rPr>
          <w:rFonts w:hint="eastAsia"/>
          <w:color w:val="auto"/>
          <w:highlight w:val="none"/>
        </w:rPr>
        <w:t>等</w:t>
      </w:r>
      <w:r>
        <w:rPr>
          <w:color w:val="auto"/>
          <w:highlight w:val="none"/>
        </w:rPr>
        <w:t>规范</w:t>
      </w:r>
      <w:r>
        <w:rPr>
          <w:rFonts w:hint="eastAsia"/>
          <w:color w:val="auto"/>
          <w:highlight w:val="none"/>
        </w:rPr>
        <w:t>的</w:t>
      </w:r>
      <w:r>
        <w:rPr>
          <w:color w:val="auto"/>
          <w:highlight w:val="none"/>
        </w:rPr>
        <w:t>要求，按</w:t>
      </w:r>
      <w:r>
        <w:rPr>
          <w:rFonts w:hint="eastAsia"/>
          <w:color w:val="auto"/>
          <w:highlight w:val="none"/>
          <w:lang w:val="en-US" w:eastAsia="zh-CN"/>
        </w:rPr>
        <w:t>技施阶段</w:t>
      </w:r>
      <w:r>
        <w:rPr>
          <w:color w:val="auto"/>
          <w:highlight w:val="none"/>
        </w:rPr>
        <w:t>设计</w:t>
      </w:r>
      <w:r>
        <w:rPr>
          <w:rFonts w:hint="eastAsia"/>
          <w:color w:val="auto"/>
          <w:highlight w:val="none"/>
          <w:lang w:val="en-US" w:eastAsia="zh-CN"/>
        </w:rPr>
        <w:t>文件</w:t>
      </w:r>
      <w:r>
        <w:rPr>
          <w:color w:val="auto"/>
          <w:highlight w:val="none"/>
        </w:rPr>
        <w:t>施工</w:t>
      </w:r>
      <w:r>
        <w:rPr>
          <w:rFonts w:hint="eastAsia"/>
          <w:color w:val="auto"/>
          <w:highlight w:val="none"/>
          <w:lang w:eastAsia="zh-CN"/>
        </w:rPr>
        <w:t>，</w:t>
      </w:r>
      <w:r>
        <w:rPr>
          <w:rFonts w:hint="eastAsia"/>
          <w:color w:val="auto"/>
          <w:highlight w:val="none"/>
          <w:lang w:val="en-US" w:eastAsia="zh-CN"/>
        </w:rPr>
        <w:t>材料的</w:t>
      </w:r>
      <w:r>
        <w:rPr>
          <w:color w:val="auto"/>
          <w:highlight w:val="none"/>
        </w:rPr>
        <w:t>材质、规格和尺寸</w:t>
      </w:r>
      <w:r>
        <w:rPr>
          <w:rFonts w:hint="eastAsia"/>
          <w:color w:val="auto"/>
          <w:highlight w:val="none"/>
          <w:lang w:val="en-US" w:eastAsia="zh-CN"/>
        </w:rPr>
        <w:t>必须满足</w:t>
      </w:r>
      <w:r>
        <w:rPr>
          <w:color w:val="auto"/>
          <w:highlight w:val="none"/>
        </w:rPr>
        <w:t>设计要求</w:t>
      </w:r>
      <w:r>
        <w:rPr>
          <w:rFonts w:hint="eastAsia"/>
          <w:color w:val="auto"/>
          <w:highlight w:val="none"/>
          <w:lang w:eastAsia="zh-CN"/>
        </w:rPr>
        <w:t>。</w:t>
      </w:r>
    </w:p>
    <w:p w14:paraId="09D6B387">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420" w:firstLineChars="0"/>
        <w:textAlignment w:val="auto"/>
        <w:rPr>
          <w:rFonts w:hint="eastAsia"/>
          <w:color w:val="auto"/>
          <w:highlight w:val="none"/>
        </w:rPr>
      </w:pPr>
      <w:r>
        <w:rPr>
          <w:rFonts w:hint="eastAsia"/>
          <w:color w:val="auto"/>
          <w:highlight w:val="none"/>
        </w:rPr>
        <w:t>按照设计要求进行潜水泵、光伏电池板列、光伏逆变器及其配套电气设备选型与安装</w:t>
      </w:r>
      <w:r>
        <w:rPr>
          <w:rFonts w:hint="eastAsia"/>
          <w:color w:val="auto"/>
          <w:highlight w:val="none"/>
          <w:lang w:eastAsia="zh-CN"/>
        </w:rPr>
        <w:t>，</w:t>
      </w:r>
      <w:r>
        <w:rPr>
          <w:rFonts w:hint="eastAsia"/>
          <w:color w:val="auto"/>
          <w:highlight w:val="none"/>
        </w:rPr>
        <w:t>保障泵站机械与电气设备的支架及其基础的稳定与安全。</w:t>
      </w:r>
    </w:p>
    <w:p w14:paraId="3EEB3B63">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420" w:firstLineChars="0"/>
        <w:textAlignment w:val="auto"/>
        <w:rPr>
          <w:rFonts w:hint="eastAsia"/>
          <w:color w:val="auto"/>
          <w:highlight w:val="none"/>
        </w:rPr>
      </w:pPr>
      <w:r>
        <w:rPr>
          <w:rFonts w:hint="eastAsia"/>
          <w:color w:val="auto"/>
          <w:highlight w:val="none"/>
          <w:lang w:val="en-US" w:eastAsia="zh-CN"/>
        </w:rPr>
        <w:t>施工质量</w:t>
      </w:r>
      <w:r>
        <w:rPr>
          <w:color w:val="auto"/>
          <w:highlight w:val="none"/>
        </w:rPr>
        <w:t>满足相关建筑结构施工和质量验收规范的要求</w:t>
      </w:r>
      <w:r>
        <w:rPr>
          <w:rFonts w:hint="eastAsia"/>
          <w:color w:val="auto"/>
          <w:highlight w:val="none"/>
        </w:rPr>
        <w:t>。</w:t>
      </w:r>
    </w:p>
    <w:p w14:paraId="1B8DD3C9">
      <w:pPr>
        <w:pStyle w:val="71"/>
        <w:rPr>
          <w:rFonts w:hint="eastAsia"/>
          <w:color w:val="auto"/>
          <w:highlight w:val="none"/>
        </w:rPr>
      </w:pPr>
      <w:bookmarkStart w:id="364" w:name="_Toc520709318"/>
      <w:bookmarkStart w:id="365" w:name="_Toc299889785"/>
      <w:bookmarkStart w:id="366" w:name="_Toc520823487"/>
      <w:bookmarkStart w:id="367" w:name="_Toc522140515"/>
      <w:r>
        <w:rPr>
          <w:rFonts w:hint="eastAsia"/>
          <w:color w:val="auto"/>
          <w:highlight w:val="none"/>
        </w:rPr>
        <w:t>施工管理</w:t>
      </w:r>
    </w:p>
    <w:p w14:paraId="6EBFDF37">
      <w:pPr>
        <w:pStyle w:val="71"/>
        <w:keepNext w:val="0"/>
        <w:keepLines w:val="0"/>
        <w:pageBreakBefore w:val="0"/>
        <w:widowControl/>
        <w:numPr>
          <w:ilvl w:val="1"/>
          <w:numId w:val="0"/>
        </w:numPr>
        <w:kinsoku/>
        <w:wordWrap/>
        <w:overflowPunct/>
        <w:topLinePunct w:val="0"/>
        <w:bidi w:val="0"/>
        <w:adjustRightInd w:val="0"/>
        <w:snapToGrid w:val="0"/>
        <w:spacing w:before="0" w:beforeLines="0" w:after="0" w:afterLines="0" w:line="240" w:lineRule="auto"/>
        <w:textAlignment w:val="auto"/>
        <w:rPr>
          <w:rFonts w:ascii="宋体" w:eastAsia="宋体"/>
          <w:color w:val="auto"/>
          <w:szCs w:val="20"/>
          <w:highlight w:val="none"/>
        </w:rPr>
      </w:pPr>
      <w:r>
        <w:rPr>
          <w:rFonts w:hint="eastAsia" w:ascii="黑体" w:hAnsi="黑体" w:eastAsia="黑体" w:cs="黑体"/>
          <w:color w:val="auto"/>
          <w:sz w:val="21"/>
          <w:szCs w:val="21"/>
          <w:highlight w:val="none"/>
          <w:lang w:val="en-US" w:eastAsia="zh-CN" w:bidi="ar-SA"/>
        </w:rPr>
        <w:t>7.7.1 基本</w:t>
      </w:r>
      <w:r>
        <w:rPr>
          <w:rFonts w:hint="eastAsia" w:hAnsi="黑体" w:cs="黑体"/>
          <w:color w:val="auto"/>
          <w:highlight w:val="none"/>
        </w:rPr>
        <w:t>要求</w:t>
      </w:r>
    </w:p>
    <w:p w14:paraId="2D6BD085">
      <w:pPr>
        <w:pStyle w:val="71"/>
        <w:keepNext w:val="0"/>
        <w:keepLines w:val="0"/>
        <w:pageBreakBefore w:val="0"/>
        <w:widowControl/>
        <w:numPr>
          <w:ilvl w:val="1"/>
          <w:numId w:val="0"/>
        </w:numPr>
        <w:kinsoku/>
        <w:wordWrap/>
        <w:overflowPunct/>
        <w:topLinePunct w:val="0"/>
        <w:bidi w:val="0"/>
        <w:adjustRightInd w:val="0"/>
        <w:snapToGrid w:val="0"/>
        <w:spacing w:before="0" w:beforeLines="0" w:after="0" w:afterLines="0" w:line="240" w:lineRule="auto"/>
        <w:ind w:firstLine="420" w:firstLineChars="200"/>
        <w:textAlignment w:val="auto"/>
        <w:rPr>
          <w:color w:val="auto"/>
          <w:highlight w:val="none"/>
        </w:rPr>
      </w:pPr>
      <w:r>
        <w:rPr>
          <w:rFonts w:hint="eastAsia" w:ascii="宋体" w:eastAsia="宋体"/>
          <w:color w:val="auto"/>
          <w:szCs w:val="20"/>
          <w:highlight w:val="none"/>
        </w:rPr>
        <w:t>施工单位应编制施工组织设计，并严格按照施工组织设计文件进行施工作业，建立完善的内部施工进度、质量和安全自查系统；建设单位和监理单位应监督检查施工全过程的进度、质量与安全状况。</w:t>
      </w:r>
    </w:p>
    <w:p w14:paraId="6A93A72F">
      <w:pPr>
        <w:pStyle w:val="71"/>
        <w:keepNext w:val="0"/>
        <w:keepLines w:val="0"/>
        <w:pageBreakBefore w:val="0"/>
        <w:widowControl/>
        <w:numPr>
          <w:ilvl w:val="1"/>
          <w:numId w:val="0"/>
        </w:numPr>
        <w:kinsoku/>
        <w:wordWrap/>
        <w:overflowPunct/>
        <w:topLinePunct w:val="0"/>
        <w:bidi w:val="0"/>
        <w:adjustRightInd w:val="0"/>
        <w:snapToGrid w:val="0"/>
        <w:spacing w:before="0" w:beforeLines="0" w:after="0" w:afterLines="0" w:line="240" w:lineRule="auto"/>
        <w:textAlignment w:val="auto"/>
        <w:rPr>
          <w:rFonts w:ascii="宋体" w:hAnsi="宋体" w:eastAsia="宋体" w:cs="宋体"/>
          <w:color w:val="auto"/>
          <w:highlight w:val="none"/>
        </w:rPr>
      </w:pPr>
      <w:r>
        <w:rPr>
          <w:rFonts w:hint="eastAsia" w:ascii="黑体" w:hAnsi="黑体" w:eastAsia="黑体" w:cs="黑体"/>
          <w:color w:val="auto"/>
          <w:sz w:val="21"/>
          <w:szCs w:val="21"/>
          <w:highlight w:val="none"/>
          <w:lang w:val="en-US" w:eastAsia="zh-CN" w:bidi="ar-SA"/>
        </w:rPr>
        <w:t>7.7.2 施工</w:t>
      </w:r>
      <w:r>
        <w:rPr>
          <w:rFonts w:hint="eastAsia" w:hAnsi="黑体" w:cs="黑体"/>
          <w:color w:val="auto"/>
          <w:highlight w:val="none"/>
        </w:rPr>
        <w:t>进度控制</w:t>
      </w:r>
    </w:p>
    <w:p w14:paraId="56131AAD">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color w:val="auto"/>
          <w:szCs w:val="21"/>
          <w:highlight w:val="none"/>
        </w:rPr>
      </w:pPr>
      <w:r>
        <w:rPr>
          <w:rFonts w:hint="eastAsia"/>
          <w:color w:val="auto"/>
          <w:szCs w:val="21"/>
          <w:highlight w:val="none"/>
        </w:rPr>
        <w:t>（1）施工单位应编制并执行经监理单位审核的施工进度计划。</w:t>
      </w:r>
    </w:p>
    <w:p w14:paraId="46FB0E80">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color w:val="auto"/>
          <w:szCs w:val="21"/>
          <w:highlight w:val="none"/>
        </w:rPr>
      </w:pPr>
      <w:r>
        <w:rPr>
          <w:rFonts w:hint="eastAsia"/>
          <w:color w:val="auto"/>
          <w:szCs w:val="21"/>
          <w:highlight w:val="none"/>
        </w:rPr>
        <w:t>（2）施工项目部应及时就施工进度计划执行情况进行动态控制与调整，保证按期实现控制目标。</w:t>
      </w:r>
    </w:p>
    <w:p w14:paraId="1E761ABF">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color w:val="auto"/>
          <w:szCs w:val="21"/>
          <w:highlight w:val="none"/>
        </w:rPr>
      </w:pPr>
      <w:r>
        <w:rPr>
          <w:rFonts w:hint="eastAsia"/>
          <w:color w:val="auto"/>
          <w:szCs w:val="21"/>
          <w:highlight w:val="none"/>
        </w:rPr>
        <w:t>（3）工程进度控制过程中，明确进度控制目标、控制方法与途径。</w:t>
      </w:r>
    </w:p>
    <w:p w14:paraId="4D0FDF9B">
      <w:pPr>
        <w:pStyle w:val="25"/>
        <w:keepNext w:val="0"/>
        <w:keepLines w:val="0"/>
        <w:pageBreakBefore w:val="0"/>
        <w:widowControl/>
        <w:kinsoku/>
        <w:wordWrap/>
        <w:overflowPunct/>
        <w:topLinePunct w:val="0"/>
        <w:bidi w:val="0"/>
        <w:adjustRightInd w:val="0"/>
        <w:snapToGrid w:val="0"/>
        <w:spacing w:line="240" w:lineRule="auto"/>
        <w:textAlignment w:val="auto"/>
        <w:rPr>
          <w:color w:val="auto"/>
          <w:szCs w:val="21"/>
          <w:highlight w:val="none"/>
        </w:rPr>
      </w:pPr>
      <w:r>
        <w:rPr>
          <w:rFonts w:hint="eastAsia"/>
          <w:color w:val="auto"/>
          <w:szCs w:val="21"/>
          <w:highlight w:val="none"/>
        </w:rPr>
        <w:t>（4）对于设计、建设管理方责任造成的工期延误可按规定申请工期索赔。</w:t>
      </w:r>
    </w:p>
    <w:p w14:paraId="6DF9A74E">
      <w:pPr>
        <w:pStyle w:val="71"/>
        <w:keepNext w:val="0"/>
        <w:keepLines w:val="0"/>
        <w:pageBreakBefore w:val="0"/>
        <w:widowControl/>
        <w:numPr>
          <w:ilvl w:val="1"/>
          <w:numId w:val="0"/>
        </w:numPr>
        <w:kinsoku/>
        <w:wordWrap/>
        <w:overflowPunct/>
        <w:topLinePunct w:val="0"/>
        <w:bidi w:val="0"/>
        <w:adjustRightInd w:val="0"/>
        <w:snapToGrid w:val="0"/>
        <w:spacing w:before="0" w:beforeLines="0" w:after="0" w:afterLines="0" w:line="240" w:lineRule="auto"/>
        <w:textAlignment w:val="auto"/>
        <w:rPr>
          <w:rFonts w:ascii="宋体" w:hAnsi="宋体" w:eastAsia="宋体" w:cs="宋体"/>
          <w:color w:val="auto"/>
          <w:highlight w:val="none"/>
        </w:rPr>
      </w:pPr>
      <w:r>
        <w:rPr>
          <w:rFonts w:hint="eastAsia" w:ascii="黑体" w:hAnsi="黑体" w:eastAsia="黑体" w:cs="黑体"/>
          <w:color w:val="auto"/>
          <w:sz w:val="21"/>
          <w:szCs w:val="21"/>
          <w:highlight w:val="none"/>
          <w:lang w:val="en-US" w:eastAsia="zh-CN" w:bidi="ar-SA"/>
        </w:rPr>
        <w:t>7.7.3 施工质</w:t>
      </w:r>
      <w:r>
        <w:rPr>
          <w:rFonts w:hint="eastAsia" w:hAnsi="黑体" w:cs="黑体"/>
          <w:color w:val="auto"/>
          <w:highlight w:val="none"/>
        </w:rPr>
        <w:t>量控制</w:t>
      </w:r>
    </w:p>
    <w:p w14:paraId="7F9E42E2">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color w:val="auto"/>
          <w:szCs w:val="21"/>
          <w:highlight w:val="none"/>
        </w:rPr>
      </w:pPr>
      <w:r>
        <w:rPr>
          <w:rFonts w:hint="eastAsia"/>
          <w:color w:val="auto"/>
          <w:szCs w:val="21"/>
          <w:highlight w:val="none"/>
        </w:rPr>
        <w:t>（1）施工质量的事前控制</w:t>
      </w:r>
    </w:p>
    <w:p w14:paraId="15D0E4E5">
      <w:pPr>
        <w:pStyle w:val="25"/>
        <w:keepNext w:val="0"/>
        <w:keepLines w:val="0"/>
        <w:pageBreakBefore w:val="0"/>
        <w:widowControl/>
        <w:kinsoku/>
        <w:wordWrap/>
        <w:overflowPunct/>
        <w:topLinePunct w:val="0"/>
        <w:bidi w:val="0"/>
        <w:adjustRightInd w:val="0"/>
        <w:snapToGrid w:val="0"/>
        <w:spacing w:line="240" w:lineRule="auto"/>
        <w:ind w:firstLine="420" w:firstLineChars="0"/>
        <w:textAlignment w:val="auto"/>
        <w:rPr>
          <w:rFonts w:hint="eastAsia"/>
          <w:color w:val="auto"/>
          <w:szCs w:val="21"/>
          <w:highlight w:val="none"/>
          <w:lang w:eastAsia="zh-CN"/>
        </w:rPr>
      </w:pPr>
      <w:r>
        <w:rPr>
          <w:rFonts w:hint="eastAsia"/>
          <w:color w:val="auto"/>
          <w:szCs w:val="21"/>
          <w:highlight w:val="none"/>
        </w:rPr>
        <w:t>明确质量质量目标</w:t>
      </w:r>
      <w:r>
        <w:rPr>
          <w:rFonts w:hint="eastAsia"/>
          <w:color w:val="auto"/>
          <w:szCs w:val="21"/>
          <w:highlight w:val="none"/>
          <w:lang w:val="en-US" w:eastAsia="zh-CN"/>
        </w:rPr>
        <w:t>与</w:t>
      </w:r>
      <w:r>
        <w:rPr>
          <w:rFonts w:hint="eastAsia"/>
          <w:color w:val="auto"/>
          <w:szCs w:val="21"/>
          <w:highlight w:val="none"/>
        </w:rPr>
        <w:t>要求</w:t>
      </w:r>
      <w:r>
        <w:rPr>
          <w:rFonts w:hint="eastAsia"/>
          <w:color w:val="auto"/>
          <w:szCs w:val="21"/>
          <w:highlight w:val="none"/>
          <w:lang w:eastAsia="zh-CN"/>
        </w:rPr>
        <w:t>，</w:t>
      </w:r>
      <w:r>
        <w:rPr>
          <w:rFonts w:hint="eastAsia"/>
          <w:color w:val="auto"/>
          <w:szCs w:val="21"/>
          <w:highlight w:val="none"/>
        </w:rPr>
        <w:t>建立施工企业内部质量监督控制和质量保证体系</w:t>
      </w:r>
      <w:r>
        <w:rPr>
          <w:rFonts w:hint="eastAsia"/>
          <w:color w:val="auto"/>
          <w:szCs w:val="21"/>
          <w:highlight w:val="none"/>
          <w:lang w:eastAsia="zh-CN"/>
        </w:rPr>
        <w:t>。</w:t>
      </w:r>
    </w:p>
    <w:p w14:paraId="6AEA49B4">
      <w:pPr>
        <w:pStyle w:val="25"/>
        <w:keepNext w:val="0"/>
        <w:keepLines w:val="0"/>
        <w:pageBreakBefore w:val="0"/>
        <w:widowControl/>
        <w:kinsoku/>
        <w:wordWrap/>
        <w:overflowPunct/>
        <w:topLinePunct w:val="0"/>
        <w:bidi w:val="0"/>
        <w:adjustRightInd w:val="0"/>
        <w:snapToGrid w:val="0"/>
        <w:spacing w:line="240" w:lineRule="auto"/>
        <w:ind w:firstLine="420" w:firstLineChars="0"/>
        <w:textAlignment w:val="auto"/>
        <w:rPr>
          <w:rFonts w:hint="eastAsia"/>
          <w:color w:val="auto"/>
          <w:szCs w:val="21"/>
          <w:highlight w:val="none"/>
        </w:rPr>
      </w:pPr>
      <w:r>
        <w:rPr>
          <w:rFonts w:hint="eastAsia"/>
          <w:color w:val="auto"/>
          <w:szCs w:val="21"/>
          <w:highlight w:val="none"/>
        </w:rPr>
        <w:t>对施工场地进行踏勘</w:t>
      </w:r>
      <w:r>
        <w:rPr>
          <w:rFonts w:hint="eastAsia"/>
          <w:color w:val="auto"/>
          <w:szCs w:val="21"/>
          <w:highlight w:val="none"/>
          <w:lang w:val="en-US" w:eastAsia="zh-CN"/>
        </w:rPr>
        <w:t>与</w:t>
      </w:r>
      <w:r>
        <w:rPr>
          <w:rFonts w:hint="eastAsia"/>
          <w:color w:val="auto"/>
          <w:szCs w:val="21"/>
          <w:highlight w:val="none"/>
        </w:rPr>
        <w:t>验收</w:t>
      </w:r>
      <w:r>
        <w:rPr>
          <w:rFonts w:hint="eastAsia"/>
          <w:color w:val="auto"/>
          <w:szCs w:val="21"/>
          <w:highlight w:val="none"/>
          <w:lang w:eastAsia="zh-CN"/>
        </w:rPr>
        <w:t>，</w:t>
      </w:r>
      <w:r>
        <w:rPr>
          <w:rFonts w:hint="eastAsia"/>
          <w:color w:val="auto"/>
          <w:szCs w:val="21"/>
          <w:highlight w:val="none"/>
          <w:lang w:val="en-US" w:eastAsia="zh-CN"/>
        </w:rPr>
        <w:t>进行</w:t>
      </w:r>
      <w:r>
        <w:rPr>
          <w:rFonts w:hint="eastAsia"/>
          <w:color w:val="auto"/>
          <w:szCs w:val="21"/>
          <w:highlight w:val="none"/>
        </w:rPr>
        <w:t>工程材料、预制件和施工机械检查与质量控制</w:t>
      </w:r>
      <w:r>
        <w:rPr>
          <w:rFonts w:hint="eastAsia"/>
          <w:color w:val="auto"/>
          <w:szCs w:val="21"/>
          <w:highlight w:val="none"/>
          <w:lang w:eastAsia="zh-CN"/>
        </w:rPr>
        <w:t>，</w:t>
      </w:r>
      <w:r>
        <w:rPr>
          <w:rFonts w:hint="eastAsia"/>
          <w:color w:val="auto"/>
          <w:szCs w:val="21"/>
          <w:highlight w:val="none"/>
          <w:lang w:val="en-US" w:eastAsia="zh-CN"/>
        </w:rPr>
        <w:t>有</w:t>
      </w:r>
      <w:r>
        <w:rPr>
          <w:rFonts w:hint="eastAsia"/>
          <w:color w:val="auto"/>
          <w:szCs w:val="21"/>
          <w:highlight w:val="none"/>
        </w:rPr>
        <w:t>完善</w:t>
      </w:r>
      <w:r>
        <w:rPr>
          <w:rFonts w:hint="eastAsia"/>
          <w:color w:val="auto"/>
          <w:szCs w:val="21"/>
          <w:highlight w:val="none"/>
          <w:lang w:val="en-US" w:eastAsia="zh-CN"/>
        </w:rPr>
        <w:t>的</w:t>
      </w:r>
      <w:r>
        <w:rPr>
          <w:rFonts w:hint="eastAsia"/>
          <w:color w:val="auto"/>
          <w:szCs w:val="21"/>
          <w:highlight w:val="none"/>
        </w:rPr>
        <w:t>施工组织设计</w:t>
      </w:r>
      <w:r>
        <w:rPr>
          <w:rFonts w:hint="eastAsia"/>
          <w:color w:val="auto"/>
          <w:szCs w:val="21"/>
          <w:highlight w:val="none"/>
          <w:lang w:val="en-US" w:eastAsia="zh-CN"/>
        </w:rPr>
        <w:t>与</w:t>
      </w:r>
      <w:r>
        <w:rPr>
          <w:rFonts w:hint="eastAsia"/>
          <w:color w:val="auto"/>
          <w:szCs w:val="21"/>
          <w:highlight w:val="none"/>
        </w:rPr>
        <w:t>施工方案。</w:t>
      </w:r>
    </w:p>
    <w:p w14:paraId="685B1EF0">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color w:val="auto"/>
          <w:szCs w:val="21"/>
          <w:highlight w:val="none"/>
        </w:rPr>
      </w:pPr>
      <w:r>
        <w:rPr>
          <w:rFonts w:hint="eastAsia"/>
          <w:color w:val="auto"/>
          <w:szCs w:val="21"/>
          <w:highlight w:val="none"/>
        </w:rPr>
        <w:t>（2）施工质量的事中控制</w:t>
      </w:r>
    </w:p>
    <w:p w14:paraId="3A074596">
      <w:pPr>
        <w:pStyle w:val="25"/>
        <w:keepNext w:val="0"/>
        <w:keepLines w:val="0"/>
        <w:pageBreakBefore w:val="0"/>
        <w:widowControl/>
        <w:kinsoku/>
        <w:wordWrap/>
        <w:overflowPunct/>
        <w:topLinePunct w:val="0"/>
        <w:bidi w:val="0"/>
        <w:adjustRightInd w:val="0"/>
        <w:snapToGrid w:val="0"/>
        <w:spacing w:line="240" w:lineRule="auto"/>
        <w:ind w:firstLine="420" w:firstLineChars="0"/>
        <w:textAlignment w:val="auto"/>
        <w:rPr>
          <w:rFonts w:hint="eastAsia"/>
          <w:color w:val="auto"/>
          <w:szCs w:val="21"/>
          <w:highlight w:val="none"/>
          <w:lang w:eastAsia="zh-CN"/>
        </w:rPr>
      </w:pPr>
      <w:r>
        <w:rPr>
          <w:rFonts w:hint="eastAsia"/>
          <w:color w:val="auto"/>
          <w:szCs w:val="21"/>
          <w:highlight w:val="none"/>
        </w:rPr>
        <w:t>现场检查、旁站、量测和试验进行施工工艺过程质量控制</w:t>
      </w:r>
      <w:r>
        <w:rPr>
          <w:rFonts w:hint="eastAsia"/>
          <w:color w:val="auto"/>
          <w:szCs w:val="21"/>
          <w:highlight w:val="none"/>
          <w:lang w:eastAsia="zh-CN"/>
        </w:rPr>
        <w:t>，</w:t>
      </w:r>
      <w:r>
        <w:rPr>
          <w:rFonts w:hint="eastAsia"/>
          <w:color w:val="auto"/>
          <w:szCs w:val="21"/>
          <w:highlight w:val="none"/>
        </w:rPr>
        <w:t>严格实施工序交接检查制度</w:t>
      </w:r>
      <w:r>
        <w:rPr>
          <w:rFonts w:hint="eastAsia"/>
          <w:color w:val="auto"/>
          <w:szCs w:val="21"/>
          <w:highlight w:val="none"/>
          <w:lang w:eastAsia="zh-CN"/>
        </w:rPr>
        <w:t>，</w:t>
      </w:r>
      <w:r>
        <w:rPr>
          <w:rFonts w:hint="eastAsia"/>
          <w:color w:val="auto"/>
          <w:szCs w:val="21"/>
          <w:highlight w:val="none"/>
        </w:rPr>
        <w:t>重视隐蔽工程的检查验收</w:t>
      </w:r>
      <w:r>
        <w:rPr>
          <w:rFonts w:hint="eastAsia"/>
          <w:color w:val="auto"/>
          <w:szCs w:val="21"/>
          <w:highlight w:val="none"/>
          <w:lang w:eastAsia="zh-CN"/>
        </w:rPr>
        <w:t>。</w:t>
      </w:r>
    </w:p>
    <w:p w14:paraId="302066A2">
      <w:pPr>
        <w:pStyle w:val="25"/>
        <w:keepNext w:val="0"/>
        <w:keepLines w:val="0"/>
        <w:pageBreakBefore w:val="0"/>
        <w:widowControl/>
        <w:kinsoku/>
        <w:wordWrap/>
        <w:overflowPunct/>
        <w:topLinePunct w:val="0"/>
        <w:bidi w:val="0"/>
        <w:adjustRightInd w:val="0"/>
        <w:snapToGrid w:val="0"/>
        <w:spacing w:line="240" w:lineRule="auto"/>
        <w:ind w:firstLine="420" w:firstLineChars="0"/>
        <w:textAlignment w:val="auto"/>
        <w:rPr>
          <w:rFonts w:hint="eastAsia"/>
          <w:color w:val="auto"/>
          <w:szCs w:val="21"/>
          <w:highlight w:val="none"/>
        </w:rPr>
      </w:pPr>
      <w:r>
        <w:rPr>
          <w:rFonts w:hint="eastAsia"/>
          <w:color w:val="auto"/>
          <w:szCs w:val="21"/>
          <w:highlight w:val="none"/>
        </w:rPr>
        <w:t>及时处理设计变更与技术核定工作</w:t>
      </w:r>
      <w:r>
        <w:rPr>
          <w:rFonts w:hint="eastAsia"/>
          <w:color w:val="auto"/>
          <w:szCs w:val="21"/>
          <w:highlight w:val="none"/>
          <w:lang w:eastAsia="zh-CN"/>
        </w:rPr>
        <w:t>，</w:t>
      </w:r>
      <w:r>
        <w:rPr>
          <w:rFonts w:hint="eastAsia"/>
          <w:color w:val="auto"/>
          <w:szCs w:val="21"/>
          <w:highlight w:val="none"/>
        </w:rPr>
        <w:t>建立完善的质量事故处理方案与工作流程。</w:t>
      </w:r>
    </w:p>
    <w:p w14:paraId="31DD37FC">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color w:val="auto"/>
          <w:szCs w:val="21"/>
          <w:highlight w:val="none"/>
        </w:rPr>
      </w:pPr>
      <w:r>
        <w:rPr>
          <w:rFonts w:hint="eastAsia"/>
          <w:color w:val="auto"/>
          <w:szCs w:val="21"/>
          <w:highlight w:val="none"/>
        </w:rPr>
        <w:t>（3）施工质量事后控制</w:t>
      </w:r>
    </w:p>
    <w:p w14:paraId="41C6DBD8">
      <w:pPr>
        <w:pStyle w:val="25"/>
        <w:keepNext w:val="0"/>
        <w:keepLines w:val="0"/>
        <w:pageBreakBefore w:val="0"/>
        <w:widowControl/>
        <w:kinsoku/>
        <w:wordWrap/>
        <w:overflowPunct/>
        <w:topLinePunct w:val="0"/>
        <w:bidi w:val="0"/>
        <w:adjustRightInd w:val="0"/>
        <w:snapToGrid w:val="0"/>
        <w:spacing w:line="240" w:lineRule="auto"/>
        <w:ind w:firstLine="420" w:firstLineChars="0"/>
        <w:textAlignment w:val="auto"/>
        <w:rPr>
          <w:rFonts w:hint="eastAsia"/>
          <w:color w:val="auto"/>
          <w:szCs w:val="21"/>
          <w:highlight w:val="none"/>
          <w:lang w:eastAsia="zh-CN"/>
        </w:rPr>
      </w:pPr>
      <w:r>
        <w:rPr>
          <w:rFonts w:hint="eastAsia"/>
          <w:color w:val="auto"/>
          <w:szCs w:val="21"/>
          <w:highlight w:val="none"/>
        </w:rPr>
        <w:t>组织暗管排水系统的试运行</w:t>
      </w:r>
      <w:r>
        <w:rPr>
          <w:rFonts w:hint="eastAsia"/>
          <w:color w:val="auto"/>
          <w:szCs w:val="21"/>
          <w:highlight w:val="none"/>
          <w:lang w:eastAsia="zh-CN"/>
        </w:rPr>
        <w:t>，</w:t>
      </w:r>
      <w:r>
        <w:rPr>
          <w:rFonts w:hint="eastAsia"/>
          <w:color w:val="auto"/>
          <w:szCs w:val="21"/>
          <w:highlight w:val="none"/>
        </w:rPr>
        <w:t>审核竣工图及其他施工技术文件资料，完成工程竣工预验收</w:t>
      </w:r>
      <w:r>
        <w:rPr>
          <w:rFonts w:hint="eastAsia"/>
          <w:color w:val="auto"/>
          <w:szCs w:val="21"/>
          <w:highlight w:val="none"/>
          <w:lang w:eastAsia="zh-CN"/>
        </w:rPr>
        <w:t>。</w:t>
      </w:r>
    </w:p>
    <w:p w14:paraId="3349F7B9">
      <w:pPr>
        <w:pStyle w:val="25"/>
        <w:keepNext w:val="0"/>
        <w:keepLines w:val="0"/>
        <w:pageBreakBefore w:val="0"/>
        <w:widowControl/>
        <w:kinsoku/>
        <w:wordWrap/>
        <w:overflowPunct/>
        <w:topLinePunct w:val="0"/>
        <w:bidi w:val="0"/>
        <w:adjustRightInd w:val="0"/>
        <w:snapToGrid w:val="0"/>
        <w:spacing w:line="240" w:lineRule="auto"/>
        <w:ind w:firstLine="420" w:firstLineChars="0"/>
        <w:textAlignment w:val="auto"/>
        <w:rPr>
          <w:color w:val="auto"/>
          <w:szCs w:val="21"/>
          <w:highlight w:val="none"/>
        </w:rPr>
      </w:pPr>
      <w:r>
        <w:rPr>
          <w:rFonts w:hint="eastAsia"/>
          <w:color w:val="auto"/>
          <w:szCs w:val="21"/>
          <w:highlight w:val="none"/>
        </w:rPr>
        <w:t>整理工程施工技术文件资料，编目建档。</w:t>
      </w:r>
    </w:p>
    <w:p w14:paraId="78FCAEE5">
      <w:pPr>
        <w:pStyle w:val="71"/>
        <w:keepNext w:val="0"/>
        <w:keepLines w:val="0"/>
        <w:pageBreakBefore w:val="0"/>
        <w:widowControl/>
        <w:numPr>
          <w:ilvl w:val="1"/>
          <w:numId w:val="0"/>
        </w:numPr>
        <w:kinsoku/>
        <w:wordWrap/>
        <w:overflowPunct/>
        <w:topLinePunct w:val="0"/>
        <w:bidi w:val="0"/>
        <w:adjustRightInd w:val="0"/>
        <w:snapToGrid w:val="0"/>
        <w:spacing w:before="0" w:beforeLines="0" w:after="0" w:afterLines="0" w:line="240" w:lineRule="auto"/>
        <w:textAlignment w:val="auto"/>
        <w:rPr>
          <w:rFonts w:ascii="宋体" w:hAnsi="宋体" w:eastAsia="宋体" w:cs="宋体"/>
          <w:color w:val="auto"/>
          <w:highlight w:val="none"/>
        </w:rPr>
      </w:pPr>
      <w:r>
        <w:rPr>
          <w:rFonts w:hint="eastAsia" w:ascii="黑体" w:hAnsi="黑体" w:eastAsia="黑体" w:cs="黑体"/>
          <w:color w:val="auto"/>
          <w:sz w:val="21"/>
          <w:szCs w:val="21"/>
          <w:highlight w:val="none"/>
          <w:lang w:val="en-US" w:eastAsia="zh-CN" w:bidi="ar-SA"/>
        </w:rPr>
        <w:t>7.7.4 施工</w:t>
      </w:r>
      <w:r>
        <w:rPr>
          <w:rFonts w:hint="eastAsia" w:hAnsi="黑体" w:cs="黑体"/>
          <w:color w:val="auto"/>
          <w:highlight w:val="none"/>
        </w:rPr>
        <w:t>安全管理</w:t>
      </w:r>
    </w:p>
    <w:p w14:paraId="3671201C">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color w:val="auto"/>
          <w:szCs w:val="21"/>
          <w:highlight w:val="none"/>
        </w:rPr>
      </w:pPr>
      <w:r>
        <w:rPr>
          <w:rFonts w:hint="eastAsia"/>
          <w:color w:val="auto"/>
          <w:szCs w:val="21"/>
          <w:highlight w:val="none"/>
        </w:rPr>
        <w:t>（1）建立完善施工安全制度，实行施工安全责任制管理办法。</w:t>
      </w:r>
    </w:p>
    <w:p w14:paraId="2EB64C9D">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color w:val="auto"/>
          <w:szCs w:val="21"/>
          <w:highlight w:val="none"/>
        </w:rPr>
      </w:pPr>
      <w:r>
        <w:rPr>
          <w:rFonts w:hint="eastAsia"/>
          <w:color w:val="auto"/>
          <w:szCs w:val="21"/>
          <w:highlight w:val="none"/>
        </w:rPr>
        <w:t>（2）施工项目部编制针对具体施工项目的安全管理文件与实施方案。</w:t>
      </w:r>
    </w:p>
    <w:p w14:paraId="1FB9A3F2">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color w:val="auto"/>
          <w:szCs w:val="21"/>
          <w:highlight w:val="none"/>
        </w:rPr>
      </w:pPr>
      <w:r>
        <w:rPr>
          <w:rFonts w:hint="eastAsia"/>
          <w:color w:val="auto"/>
          <w:szCs w:val="21"/>
          <w:highlight w:val="none"/>
        </w:rPr>
        <w:t>（3）施工项目部的安全员要及时检查和处理安全隐患。</w:t>
      </w:r>
    </w:p>
    <w:p w14:paraId="067A6C10">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color w:val="auto"/>
          <w:szCs w:val="21"/>
          <w:highlight w:val="none"/>
        </w:rPr>
      </w:pPr>
      <w:r>
        <w:rPr>
          <w:rFonts w:hint="eastAsia"/>
          <w:color w:val="auto"/>
          <w:szCs w:val="21"/>
          <w:highlight w:val="none"/>
        </w:rPr>
        <w:t>（4）加强对施工人员的安全教育，建立完善的安全培训与监督检查奖罚机制。</w:t>
      </w:r>
    </w:p>
    <w:p w14:paraId="169E8995">
      <w:pPr>
        <w:pStyle w:val="25"/>
        <w:keepNext w:val="0"/>
        <w:keepLines w:val="0"/>
        <w:pageBreakBefore w:val="0"/>
        <w:widowControl/>
        <w:kinsoku/>
        <w:wordWrap/>
        <w:overflowPunct/>
        <w:topLinePunct w:val="0"/>
        <w:bidi w:val="0"/>
        <w:adjustRightInd w:val="0"/>
        <w:snapToGrid w:val="0"/>
        <w:spacing w:line="240" w:lineRule="auto"/>
        <w:textAlignment w:val="auto"/>
        <w:rPr>
          <w:rFonts w:hint="eastAsia"/>
          <w:color w:val="auto"/>
          <w:szCs w:val="21"/>
          <w:highlight w:val="none"/>
        </w:rPr>
      </w:pPr>
      <w:r>
        <w:rPr>
          <w:rFonts w:hint="eastAsia"/>
          <w:color w:val="auto"/>
          <w:szCs w:val="21"/>
          <w:highlight w:val="none"/>
        </w:rPr>
        <w:t>（5）制定施工安全应急预案并定期演练。</w:t>
      </w:r>
    </w:p>
    <w:p w14:paraId="63CFE028">
      <w:pPr>
        <w:pStyle w:val="90"/>
        <w:keepNext w:val="0"/>
        <w:keepLines w:val="0"/>
        <w:pageBreakBefore w:val="0"/>
        <w:widowControl/>
        <w:kinsoku/>
        <w:wordWrap/>
        <w:overflowPunct/>
        <w:topLinePunct w:val="0"/>
        <w:autoSpaceDE/>
        <w:autoSpaceDN/>
        <w:bidi w:val="0"/>
        <w:adjustRightInd/>
        <w:snapToGrid/>
        <w:textAlignment w:val="auto"/>
        <w:rPr>
          <w:rFonts w:hint="eastAsia"/>
          <w:color w:val="auto"/>
          <w:highlight w:val="none"/>
        </w:rPr>
      </w:pPr>
      <w:r>
        <w:rPr>
          <w:rFonts w:hint="eastAsia"/>
          <w:color w:val="auto"/>
          <w:highlight w:val="none"/>
        </w:rPr>
        <w:t>工程验收</w:t>
      </w:r>
    </w:p>
    <w:p w14:paraId="4F4CDAD8">
      <w:pPr>
        <w:pStyle w:val="71"/>
        <w:rPr>
          <w:rFonts w:hint="eastAsia"/>
          <w:color w:val="auto"/>
          <w:highlight w:val="none"/>
        </w:rPr>
      </w:pPr>
      <w:r>
        <w:rPr>
          <w:rFonts w:hint="eastAsia"/>
          <w:color w:val="auto"/>
          <w:highlight w:val="none"/>
        </w:rPr>
        <w:t>施工质量检查</w:t>
      </w:r>
    </w:p>
    <w:p w14:paraId="0B51C785">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auto"/>
        <w:rPr>
          <w:rFonts w:hint="eastAsia"/>
          <w:color w:val="auto"/>
          <w:szCs w:val="21"/>
          <w:highlight w:val="none"/>
        </w:rPr>
      </w:pPr>
      <w:r>
        <w:rPr>
          <w:rFonts w:hint="eastAsia" w:ascii="黑体" w:hAnsi="黑体" w:eastAsia="黑体" w:cs="黑体"/>
          <w:color w:val="auto"/>
          <w:sz w:val="21"/>
          <w:szCs w:val="21"/>
          <w:highlight w:val="none"/>
          <w:lang w:val="en-US" w:eastAsia="zh-CN" w:bidi="ar-SA"/>
        </w:rPr>
        <w:t>8.1.1 吸水管</w:t>
      </w:r>
      <w:r>
        <w:rPr>
          <w:rFonts w:hint="eastAsia" w:ascii="黑体" w:hAnsi="黑体" w:eastAsia="黑体" w:cs="黑体"/>
          <w:color w:val="auto"/>
          <w:szCs w:val="21"/>
          <w:highlight w:val="none"/>
        </w:rPr>
        <w:t>铺设施工质量检查</w:t>
      </w:r>
    </w:p>
    <w:p w14:paraId="43A23A09">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420" w:firstLineChars="200"/>
        <w:textAlignment w:val="auto"/>
        <w:rPr>
          <w:rFonts w:hint="eastAsia"/>
          <w:color w:val="auto"/>
          <w:szCs w:val="21"/>
          <w:highlight w:val="none"/>
        </w:rPr>
      </w:pPr>
      <w:r>
        <w:rPr>
          <w:rFonts w:hint="eastAsia"/>
          <w:color w:val="auto"/>
          <w:szCs w:val="21"/>
          <w:highlight w:val="none"/>
        </w:rPr>
        <w:t>管沟开挖放线、管线坡度、开挖深度符合设计要求。吸水管尺寸符合设计要求，埋管平顺与起伏情况满足本</w:t>
      </w:r>
      <w:r>
        <w:rPr>
          <w:rFonts w:hint="eastAsia"/>
          <w:color w:val="auto"/>
          <w:szCs w:val="21"/>
          <w:highlight w:val="none"/>
          <w:lang w:val="en-US" w:eastAsia="zh-CN"/>
        </w:rPr>
        <w:t>规程相关条</w:t>
      </w:r>
      <w:r>
        <w:rPr>
          <w:rFonts w:hint="eastAsia"/>
          <w:color w:val="auto"/>
          <w:szCs w:val="21"/>
          <w:highlight w:val="none"/>
        </w:rPr>
        <w:t>款要求。外裹土工布型号或外包滤料配比满足设计要求。管沟回填土料的密实度接近不同埋深的农田原状土壤。</w:t>
      </w:r>
    </w:p>
    <w:p w14:paraId="54F4ECD1">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auto"/>
        <w:rPr>
          <w:rFonts w:hint="eastAsia"/>
          <w:color w:val="auto"/>
          <w:szCs w:val="21"/>
          <w:highlight w:val="none"/>
        </w:rPr>
      </w:pPr>
      <w:r>
        <w:rPr>
          <w:rFonts w:hint="eastAsia" w:ascii="黑体" w:hAnsi="黑体" w:eastAsia="黑体" w:cs="黑体"/>
          <w:color w:val="auto"/>
          <w:sz w:val="21"/>
          <w:szCs w:val="21"/>
          <w:highlight w:val="none"/>
          <w:lang w:val="en-US" w:eastAsia="zh-CN" w:bidi="ar-SA"/>
        </w:rPr>
        <w:t>8.1.2 集水管</w:t>
      </w:r>
      <w:r>
        <w:rPr>
          <w:rFonts w:hint="eastAsia" w:ascii="黑体" w:hAnsi="黑体" w:eastAsia="黑体" w:cs="黑体"/>
          <w:color w:val="auto"/>
          <w:szCs w:val="21"/>
          <w:highlight w:val="none"/>
        </w:rPr>
        <w:t>铺设施工质量检查</w:t>
      </w:r>
    </w:p>
    <w:p w14:paraId="75AEDC52">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420" w:firstLineChars="200"/>
        <w:textAlignment w:val="auto"/>
        <w:rPr>
          <w:rFonts w:hint="eastAsia"/>
          <w:color w:val="auto"/>
          <w:szCs w:val="21"/>
          <w:highlight w:val="none"/>
        </w:rPr>
      </w:pPr>
      <w:r>
        <w:rPr>
          <w:rFonts w:hint="eastAsia"/>
          <w:color w:val="auto"/>
          <w:szCs w:val="21"/>
          <w:highlight w:val="none"/>
        </w:rPr>
        <w:t>管沟开挖放线、管线坡度、开挖深度符合设计要求。集水管底部管基加固处理质量满足管基承载力要求。集水管尺寸符合设计要求，各节集水管接缝处理、埋管纵向坡度平顺与起伏情况满足本</w:t>
      </w:r>
      <w:r>
        <w:rPr>
          <w:rFonts w:hint="eastAsia"/>
          <w:color w:val="auto"/>
          <w:szCs w:val="21"/>
          <w:highlight w:val="none"/>
          <w:lang w:val="en-US" w:eastAsia="zh-CN"/>
        </w:rPr>
        <w:t>规程相关条</w:t>
      </w:r>
      <w:r>
        <w:rPr>
          <w:rFonts w:hint="eastAsia"/>
          <w:color w:val="auto"/>
          <w:szCs w:val="21"/>
          <w:highlight w:val="none"/>
        </w:rPr>
        <w:t>款要求。管沟回填土料的密实度达到95%以上。</w:t>
      </w:r>
    </w:p>
    <w:p w14:paraId="453A2E75">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auto"/>
        <w:rPr>
          <w:rFonts w:hint="eastAsia" w:ascii="黑体" w:hAnsi="黑体" w:eastAsia="黑体" w:cs="黑体"/>
          <w:color w:val="auto"/>
          <w:szCs w:val="21"/>
          <w:highlight w:val="none"/>
        </w:rPr>
      </w:pPr>
      <w:r>
        <w:rPr>
          <w:rFonts w:hint="eastAsia" w:ascii="黑体" w:hAnsi="黑体" w:eastAsia="黑体" w:cs="黑体"/>
          <w:color w:val="auto"/>
          <w:sz w:val="21"/>
          <w:szCs w:val="21"/>
          <w:highlight w:val="none"/>
          <w:lang w:val="en-US" w:eastAsia="zh-CN" w:bidi="ar-SA"/>
        </w:rPr>
        <w:t>8.1.3 检查井（</w:t>
      </w:r>
      <w:r>
        <w:rPr>
          <w:rFonts w:hint="eastAsia" w:ascii="黑体" w:hAnsi="黑体" w:eastAsia="黑体" w:cs="黑体"/>
          <w:color w:val="auto"/>
          <w:szCs w:val="21"/>
          <w:highlight w:val="none"/>
        </w:rPr>
        <w:t>连接井）施工质量检查</w:t>
      </w:r>
    </w:p>
    <w:p w14:paraId="0C7807EB">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420" w:firstLineChars="200"/>
        <w:textAlignment w:val="auto"/>
        <w:rPr>
          <w:rFonts w:hint="eastAsia"/>
          <w:color w:val="auto"/>
          <w:szCs w:val="21"/>
          <w:highlight w:val="none"/>
        </w:rPr>
      </w:pPr>
      <w:r>
        <w:rPr>
          <w:rFonts w:hint="eastAsia"/>
          <w:color w:val="auto"/>
          <w:szCs w:val="21"/>
          <w:highlight w:val="none"/>
        </w:rPr>
        <w:t>检查井位置、高程、井底垫层与底板浇筑、预制井筒安装符合设计要求。检查井分别与吸水管、集水管的联接位置、高程符合设计要求，接触部位的密封情况良好，接缝处不透水。</w:t>
      </w:r>
    </w:p>
    <w:p w14:paraId="15F510F5">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auto"/>
        <w:rPr>
          <w:rFonts w:hint="eastAsia"/>
          <w:color w:val="auto"/>
          <w:szCs w:val="21"/>
          <w:highlight w:val="none"/>
        </w:rPr>
      </w:pPr>
      <w:r>
        <w:rPr>
          <w:rFonts w:hint="eastAsia" w:ascii="黑体" w:hAnsi="黑体" w:eastAsia="黑体" w:cs="黑体"/>
          <w:color w:val="auto"/>
          <w:sz w:val="21"/>
          <w:szCs w:val="21"/>
          <w:highlight w:val="none"/>
          <w:lang w:val="en-US" w:eastAsia="zh-CN" w:bidi="ar-SA"/>
        </w:rPr>
        <w:t>8.1.4 集水井施工</w:t>
      </w:r>
      <w:r>
        <w:rPr>
          <w:rFonts w:hint="eastAsia" w:ascii="黑体" w:hAnsi="黑体" w:eastAsia="黑体" w:cs="黑体"/>
          <w:color w:val="auto"/>
          <w:szCs w:val="21"/>
          <w:highlight w:val="none"/>
        </w:rPr>
        <w:t>质量检查</w:t>
      </w:r>
    </w:p>
    <w:p w14:paraId="4B8C4015">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集水井位置、基坑开挖深度、井底垫层、井筒基础、井筒尺寸与选型符合设计要求。混凝土浇筑与井筒安装质量满足相关规范要求。集水井与集水管的联接位置与高程符合设计要求，集水井与集水管道的连接部位密封性好，不透水。沟槽回填土料分层夯实，回填土密实度达到98%以上。</w:t>
      </w:r>
    </w:p>
    <w:p w14:paraId="2B8F0F68">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8.1.5 光伏</w:t>
      </w:r>
      <w:r>
        <w:rPr>
          <w:rFonts w:hint="eastAsia" w:ascii="黑体" w:hAnsi="黑体" w:eastAsia="黑体" w:cs="黑体"/>
          <w:color w:val="auto"/>
          <w:szCs w:val="21"/>
          <w:highlight w:val="none"/>
        </w:rPr>
        <w:t>强排泵站施工质量检查</w:t>
      </w:r>
    </w:p>
    <w:p w14:paraId="232BC22B">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auto"/>
        <w:rPr>
          <w:color w:val="auto"/>
          <w:highlight w:val="none"/>
        </w:rPr>
      </w:pPr>
      <w:r>
        <w:rPr>
          <w:rFonts w:hint="eastAsia"/>
          <w:color w:val="auto"/>
          <w:highlight w:val="none"/>
        </w:rPr>
        <w:t xml:space="preserve">    </w:t>
      </w:r>
      <w:r>
        <w:rPr>
          <w:rFonts w:hint="eastAsia"/>
          <w:color w:val="auto"/>
          <w:szCs w:val="21"/>
          <w:highlight w:val="none"/>
        </w:rPr>
        <w:t>水泵型号、安装高程符合设计要求。光伏发电、储能系统设备、选型与安装符合设计要求。</w:t>
      </w:r>
    </w:p>
    <w:p w14:paraId="74F6E2A0">
      <w:pPr>
        <w:pStyle w:val="71"/>
        <w:rPr>
          <w:rFonts w:hint="eastAsia"/>
          <w:color w:val="auto"/>
          <w:highlight w:val="none"/>
        </w:rPr>
      </w:pPr>
      <w:r>
        <w:rPr>
          <w:rFonts w:hint="eastAsia"/>
          <w:color w:val="auto"/>
          <w:highlight w:val="none"/>
        </w:rPr>
        <w:t>暗管排水工程验收</w:t>
      </w:r>
    </w:p>
    <w:p w14:paraId="371C56CB">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8.2.1 验收资</w:t>
      </w:r>
      <w:r>
        <w:rPr>
          <w:rFonts w:hint="eastAsia" w:ascii="黑体" w:hAnsi="黑体" w:eastAsia="黑体" w:cs="黑体"/>
          <w:color w:val="auto"/>
          <w:highlight w:val="none"/>
        </w:rPr>
        <w:t>料</w:t>
      </w:r>
    </w:p>
    <w:p w14:paraId="03F66856">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420" w:firstLineChars="200"/>
        <w:textAlignment w:val="auto"/>
        <w:rPr>
          <w:rFonts w:hint="eastAsia" w:ascii="宋体" w:hAnsi="宋体" w:eastAsia="宋体" w:cs="宋体"/>
          <w:color w:val="auto"/>
          <w:highlight w:val="none"/>
        </w:rPr>
      </w:pPr>
      <w:r>
        <w:rPr>
          <w:rFonts w:hint="eastAsia"/>
          <w:color w:val="auto"/>
          <w:highlight w:val="none"/>
        </w:rPr>
        <w:t>应提供设计文件、设计变更文件和竣工图纸、采购材料与设备的质量合格证书、施工单位的第三方材料检验合格报告、监理单位的相关资料和记录、预制构件质量合格证书、隐蔽工程验收合格文件、施</w:t>
      </w:r>
      <w:r>
        <w:rPr>
          <w:rFonts w:hint="eastAsia" w:ascii="宋体" w:hAnsi="宋体" w:eastAsia="宋体" w:cs="宋体"/>
          <w:color w:val="auto"/>
          <w:highlight w:val="none"/>
        </w:rPr>
        <w:t>工单位试运行报告等资料。</w:t>
      </w:r>
    </w:p>
    <w:p w14:paraId="1EE976D3">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8.2.2 验</w:t>
      </w:r>
      <w:r>
        <w:rPr>
          <w:rFonts w:hint="eastAsia" w:ascii="黑体" w:hAnsi="黑体" w:eastAsia="黑体" w:cs="黑体"/>
          <w:color w:val="auto"/>
          <w:highlight w:val="none"/>
        </w:rPr>
        <w:t>收内容</w:t>
      </w:r>
    </w:p>
    <w:p w14:paraId="12AA2DAE">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lang w:val="en-US" w:eastAsia="zh-CN"/>
        </w:rPr>
        <w:t>包括：（1）</w:t>
      </w:r>
      <w:r>
        <w:rPr>
          <w:rFonts w:hint="eastAsia"/>
          <w:color w:val="auto"/>
          <w:highlight w:val="none"/>
        </w:rPr>
        <w:t>吸水管管沟开挖、吸水管铺设、外包滤料设置、吸水管沟土料回填；</w:t>
      </w:r>
      <w:r>
        <w:rPr>
          <w:rFonts w:hint="eastAsia"/>
          <w:color w:val="auto"/>
          <w:highlight w:val="none"/>
          <w:lang w:eastAsia="zh-CN"/>
        </w:rPr>
        <w:t>（</w:t>
      </w:r>
      <w:r>
        <w:rPr>
          <w:rFonts w:hint="eastAsia"/>
          <w:color w:val="auto"/>
          <w:highlight w:val="none"/>
          <w:lang w:val="en-US" w:eastAsia="zh-CN"/>
        </w:rPr>
        <w:t>2）</w:t>
      </w:r>
      <w:r>
        <w:rPr>
          <w:rFonts w:hint="eastAsia"/>
          <w:color w:val="auto"/>
          <w:highlight w:val="none"/>
        </w:rPr>
        <w:t>检查井基坑开挖、检查井基底垫层与底座、预制井筒安装、检查井与吸水管、检查井与集水管之间的联接；</w:t>
      </w:r>
      <w:r>
        <w:rPr>
          <w:rFonts w:hint="eastAsia"/>
          <w:color w:val="auto"/>
          <w:highlight w:val="none"/>
          <w:lang w:eastAsia="zh-CN"/>
        </w:rPr>
        <w:t>（</w:t>
      </w:r>
      <w:r>
        <w:rPr>
          <w:rFonts w:hint="eastAsia"/>
          <w:color w:val="auto"/>
          <w:highlight w:val="none"/>
          <w:lang w:val="en-US" w:eastAsia="zh-CN"/>
        </w:rPr>
        <w:t>3）</w:t>
      </w:r>
      <w:r>
        <w:rPr>
          <w:rFonts w:hint="eastAsia"/>
          <w:color w:val="auto"/>
          <w:highlight w:val="none"/>
        </w:rPr>
        <w:t>集水管沟开挖、沟底管基加固处理、集水管道铺设以及各节集水管之间的接缝、集水管沟土料回填；</w:t>
      </w:r>
      <w:r>
        <w:rPr>
          <w:rFonts w:hint="eastAsia"/>
          <w:color w:val="auto"/>
          <w:highlight w:val="none"/>
          <w:lang w:eastAsia="zh-CN"/>
        </w:rPr>
        <w:t>（</w:t>
      </w:r>
      <w:r>
        <w:rPr>
          <w:rFonts w:hint="eastAsia"/>
          <w:color w:val="auto"/>
          <w:highlight w:val="none"/>
          <w:lang w:val="en-US" w:eastAsia="zh-CN"/>
        </w:rPr>
        <w:t>3）</w:t>
      </w:r>
      <w:r>
        <w:rPr>
          <w:rFonts w:hint="eastAsia"/>
          <w:color w:val="auto"/>
          <w:highlight w:val="none"/>
        </w:rPr>
        <w:t>集水井基坑开挖、井底基础、井筒安装与沟槽土料回填；</w:t>
      </w:r>
      <w:r>
        <w:rPr>
          <w:rFonts w:hint="eastAsia"/>
          <w:color w:val="auto"/>
          <w:highlight w:val="none"/>
          <w:lang w:eastAsia="zh-CN"/>
        </w:rPr>
        <w:t>（</w:t>
      </w:r>
      <w:r>
        <w:rPr>
          <w:rFonts w:hint="eastAsia"/>
          <w:color w:val="auto"/>
          <w:highlight w:val="none"/>
          <w:lang w:val="en-US" w:eastAsia="zh-CN"/>
        </w:rPr>
        <w:t>4）</w:t>
      </w:r>
      <w:r>
        <w:rPr>
          <w:rFonts w:hint="eastAsia"/>
          <w:color w:val="auto"/>
          <w:highlight w:val="none"/>
        </w:rPr>
        <w:t>光伏泵站设备选型与配套、自动化控制系统及安全等。</w:t>
      </w:r>
    </w:p>
    <w:p w14:paraId="03EF01E2">
      <w:pPr>
        <w:pStyle w:val="90"/>
        <w:keepNext w:val="0"/>
        <w:keepLines w:val="0"/>
        <w:pageBreakBefore w:val="0"/>
        <w:widowControl/>
        <w:kinsoku/>
        <w:wordWrap/>
        <w:overflowPunct/>
        <w:topLinePunct w:val="0"/>
        <w:autoSpaceDE/>
        <w:autoSpaceDN/>
        <w:bidi w:val="0"/>
        <w:adjustRightInd/>
        <w:snapToGrid/>
        <w:textAlignment w:val="auto"/>
        <w:rPr>
          <w:rFonts w:hint="eastAsia"/>
          <w:color w:val="auto"/>
          <w:highlight w:val="none"/>
        </w:rPr>
      </w:pPr>
      <w:r>
        <w:rPr>
          <w:rFonts w:hint="eastAsia"/>
          <w:color w:val="auto"/>
          <w:highlight w:val="none"/>
        </w:rPr>
        <w:t>工程运行管理与维护</w:t>
      </w:r>
      <w:bookmarkEnd w:id="364"/>
      <w:bookmarkEnd w:id="365"/>
      <w:bookmarkEnd w:id="366"/>
      <w:bookmarkEnd w:id="367"/>
    </w:p>
    <w:p w14:paraId="02986220">
      <w:pPr>
        <w:pStyle w:val="71"/>
        <w:rPr>
          <w:rFonts w:hint="eastAsia"/>
          <w:color w:val="auto"/>
          <w:highlight w:val="none"/>
        </w:rPr>
      </w:pPr>
      <w:bookmarkStart w:id="368" w:name="_Toc3642"/>
      <w:bookmarkStart w:id="369" w:name="_Toc520709319"/>
      <w:bookmarkStart w:id="370" w:name="_Toc30485"/>
      <w:bookmarkStart w:id="371" w:name="_Toc520823488"/>
      <w:bookmarkStart w:id="372" w:name="_Toc12738"/>
      <w:bookmarkStart w:id="373" w:name="_Toc299889786"/>
      <w:bookmarkStart w:id="374" w:name="_Toc27348"/>
      <w:bookmarkStart w:id="375" w:name="_Toc883"/>
      <w:bookmarkStart w:id="376" w:name="_Toc26257"/>
      <w:bookmarkStart w:id="377" w:name="_Toc522140516"/>
      <w:r>
        <w:rPr>
          <w:rFonts w:hint="eastAsia"/>
          <w:color w:val="auto"/>
          <w:highlight w:val="none"/>
        </w:rPr>
        <w:t>一般规定</w:t>
      </w:r>
      <w:bookmarkEnd w:id="368"/>
      <w:bookmarkEnd w:id="369"/>
      <w:bookmarkEnd w:id="370"/>
      <w:bookmarkEnd w:id="371"/>
      <w:bookmarkEnd w:id="372"/>
      <w:bookmarkEnd w:id="373"/>
      <w:bookmarkEnd w:id="374"/>
      <w:bookmarkEnd w:id="375"/>
      <w:bookmarkEnd w:id="376"/>
      <w:bookmarkEnd w:id="377"/>
    </w:p>
    <w:p w14:paraId="7F87E80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lang w:eastAsia="zh-CN"/>
        </w:rPr>
      </w:pPr>
      <w:r>
        <w:rPr>
          <w:rFonts w:hint="eastAsia"/>
          <w:color w:val="auto"/>
          <w:highlight w:val="none"/>
        </w:rPr>
        <w:t>暗管排水工程作为</w:t>
      </w:r>
      <w:r>
        <w:rPr>
          <w:rFonts w:hint="eastAsia"/>
          <w:color w:val="auto"/>
          <w:highlight w:val="none"/>
          <w:lang w:val="en-US" w:eastAsia="zh-CN"/>
        </w:rPr>
        <w:t>田间</w:t>
      </w:r>
      <w:r>
        <w:rPr>
          <w:rFonts w:hint="eastAsia"/>
          <w:color w:val="auto"/>
          <w:highlight w:val="none"/>
        </w:rPr>
        <w:t>灌排系统的</w:t>
      </w:r>
      <w:r>
        <w:rPr>
          <w:rFonts w:hint="eastAsia"/>
          <w:color w:val="auto"/>
          <w:highlight w:val="none"/>
          <w:lang w:val="en-US" w:eastAsia="zh-CN"/>
        </w:rPr>
        <w:t>一</w:t>
      </w:r>
      <w:r>
        <w:rPr>
          <w:rFonts w:hint="eastAsia"/>
          <w:color w:val="auto"/>
          <w:highlight w:val="none"/>
        </w:rPr>
        <w:t>部分，应由</w:t>
      </w:r>
      <w:r>
        <w:rPr>
          <w:rFonts w:hint="eastAsia"/>
          <w:color w:val="auto"/>
          <w:highlight w:val="none"/>
          <w:lang w:val="en-US" w:eastAsia="zh-CN"/>
        </w:rPr>
        <w:t>农民</w:t>
      </w:r>
      <w:r>
        <w:rPr>
          <w:rFonts w:hint="eastAsia"/>
          <w:color w:val="auto"/>
          <w:highlight w:val="none"/>
        </w:rPr>
        <w:t>用水协会或相关管护组织负责管理，</w:t>
      </w:r>
      <w:r>
        <w:rPr>
          <w:color w:val="auto"/>
          <w:highlight w:val="none"/>
        </w:rPr>
        <w:t>制定并严格执行运行维护管理规章制度</w:t>
      </w:r>
      <w:r>
        <w:rPr>
          <w:rFonts w:hint="eastAsia"/>
          <w:color w:val="auto"/>
          <w:highlight w:val="none"/>
          <w:lang w:eastAsia="zh-CN"/>
        </w:rPr>
        <w:t>。</w:t>
      </w:r>
    </w:p>
    <w:p w14:paraId="07DDC9EE">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建设单位应通过培训或相关专业知识的宣传，提高农田排水工程管理人员的技能和素质。</w:t>
      </w:r>
    </w:p>
    <w:p w14:paraId="1D55F04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农田暗管排水工程的管理应包括经常性的维护、季节性的整修和临时性的抢修以及暗管排水系统的运行、改造、监测和必要的试验工作。</w:t>
      </w:r>
    </w:p>
    <w:p w14:paraId="614C211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lang w:eastAsia="zh-CN"/>
        </w:rPr>
      </w:pPr>
      <w:r>
        <w:rPr>
          <w:color w:val="auto"/>
          <w:highlight w:val="none"/>
        </w:rPr>
        <w:t>倡导灌排一体化运行管理，当暗管排出的水作为灌溉水重复循环使用时，应做好水质监测以及影响因素评价工作</w:t>
      </w:r>
      <w:r>
        <w:rPr>
          <w:rFonts w:hint="eastAsia"/>
          <w:color w:val="auto"/>
          <w:highlight w:val="none"/>
          <w:lang w:eastAsia="zh-CN"/>
        </w:rPr>
        <w:t>。</w:t>
      </w:r>
    </w:p>
    <w:p w14:paraId="1FB5EAE6">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lang w:val="en-US" w:eastAsia="zh-CN"/>
        </w:rPr>
        <w:t>运行</w:t>
      </w:r>
      <w:r>
        <w:rPr>
          <w:color w:val="auto"/>
          <w:highlight w:val="none"/>
        </w:rPr>
        <w:t>管理工作中的各类文件和技术资料均应及时整理归档。</w:t>
      </w:r>
    </w:p>
    <w:p w14:paraId="6D9B49C7">
      <w:pPr>
        <w:pStyle w:val="71"/>
        <w:rPr>
          <w:rFonts w:hint="eastAsia"/>
          <w:color w:val="auto"/>
          <w:highlight w:val="none"/>
        </w:rPr>
      </w:pPr>
      <w:bookmarkStart w:id="378" w:name="_Toc299889787"/>
      <w:bookmarkStart w:id="379" w:name="_Toc12894"/>
      <w:bookmarkStart w:id="380" w:name="_Toc522140517"/>
      <w:bookmarkStart w:id="381" w:name="_Toc4207"/>
      <w:bookmarkStart w:id="382" w:name="_Toc20719"/>
      <w:bookmarkStart w:id="383" w:name="_Toc11226"/>
      <w:bookmarkStart w:id="384" w:name="_Toc13712"/>
      <w:bookmarkStart w:id="385" w:name="_Toc520823489"/>
      <w:bookmarkStart w:id="386" w:name="_Toc520709320"/>
      <w:bookmarkStart w:id="387" w:name="_Toc10958"/>
      <w:r>
        <w:rPr>
          <w:rFonts w:hint="eastAsia"/>
          <w:color w:val="auto"/>
          <w:highlight w:val="none"/>
        </w:rPr>
        <w:t>维修养护</w:t>
      </w:r>
      <w:bookmarkEnd w:id="378"/>
      <w:bookmarkEnd w:id="379"/>
      <w:bookmarkEnd w:id="380"/>
      <w:bookmarkEnd w:id="381"/>
      <w:bookmarkEnd w:id="382"/>
      <w:bookmarkEnd w:id="383"/>
      <w:bookmarkEnd w:id="384"/>
      <w:bookmarkEnd w:id="385"/>
      <w:bookmarkEnd w:id="386"/>
      <w:bookmarkEnd w:id="387"/>
    </w:p>
    <w:p w14:paraId="022D0BE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sz w:val="21"/>
          <w:szCs w:val="21"/>
          <w:highlight w:val="none"/>
          <w:lang w:val="en-US" w:eastAsia="zh-CN" w:bidi="ar-SA"/>
        </w:rPr>
        <w:t>9.2.1 维修养</w:t>
      </w:r>
      <w:r>
        <w:rPr>
          <w:rFonts w:hint="eastAsia" w:ascii="黑体" w:hAnsi="黑体" w:eastAsia="黑体" w:cs="黑体"/>
          <w:color w:val="auto"/>
          <w:highlight w:val="none"/>
        </w:rPr>
        <w:t>护基本要求</w:t>
      </w:r>
    </w:p>
    <w:p w14:paraId="01D20AF4">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暗管工程运行初期应沿管线巡视，及时填平凹坑，每年定期检修一次。对出流量减少或含沙量增多的管道，应查明原因及时处理。明沟应保持畅通，定期清理淤积物、杂草和障碍物。对暗管出口附近的易冲刷沟段，应采取防冲固坡措施并协调治理工程施工，防止设施损坏。发现堤岸塌陷或护坡缺损时，应按原设计标准修复。</w:t>
      </w:r>
      <w:r>
        <w:rPr>
          <w:color w:val="auto"/>
          <w:highlight w:val="none"/>
        </w:rPr>
        <w:t>暗管检查井、集水井等应定期检查，如有损坏应及时维修。</w:t>
      </w:r>
    </w:p>
    <w:p w14:paraId="43FDDAA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rFonts w:hint="eastAsia"/>
          <w:color w:val="auto"/>
          <w:highlight w:val="none"/>
        </w:rPr>
        <w:t>检查井、集水井应定期清淤维修，排水泵站及设备需按要求保养，确保安全运行。</w:t>
      </w:r>
    </w:p>
    <w:p w14:paraId="418EA909">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sz w:val="21"/>
          <w:szCs w:val="21"/>
          <w:highlight w:val="none"/>
          <w:lang w:val="en-US" w:eastAsia="zh-CN" w:bidi="ar-SA"/>
        </w:rPr>
        <w:t>9.2.2 暗</w:t>
      </w:r>
      <w:r>
        <w:rPr>
          <w:rFonts w:hint="eastAsia" w:ascii="黑体" w:hAnsi="黑体" w:eastAsia="黑体" w:cs="黑体"/>
          <w:color w:val="auto"/>
          <w:highlight w:val="none"/>
        </w:rPr>
        <w:t>管清淤与冬季防护要求</w:t>
      </w:r>
    </w:p>
    <w:p w14:paraId="2D28DFA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应定期排查暗管排水系统</w:t>
      </w:r>
      <w:r>
        <w:rPr>
          <w:color w:val="auto"/>
          <w:highlight w:val="none"/>
        </w:rPr>
        <w:t>淤堵</w:t>
      </w:r>
      <w:r>
        <w:rPr>
          <w:rFonts w:hint="eastAsia"/>
          <w:color w:val="auto"/>
          <w:highlight w:val="none"/>
        </w:rPr>
        <w:t>现象</w:t>
      </w:r>
      <w:r>
        <w:rPr>
          <w:color w:val="auto"/>
          <w:highlight w:val="none"/>
        </w:rPr>
        <w:t>，</w:t>
      </w:r>
      <w:r>
        <w:rPr>
          <w:rFonts w:hint="eastAsia"/>
          <w:color w:val="auto"/>
          <w:highlight w:val="none"/>
        </w:rPr>
        <w:t>并</w:t>
      </w:r>
      <w:r>
        <w:rPr>
          <w:color w:val="auto"/>
          <w:highlight w:val="none"/>
        </w:rPr>
        <w:t>及时采取措施进行</w:t>
      </w:r>
      <w:r>
        <w:rPr>
          <w:rFonts w:hint="eastAsia"/>
          <w:color w:val="auto"/>
          <w:highlight w:val="none"/>
        </w:rPr>
        <w:t>清洗</w:t>
      </w:r>
      <w:r>
        <w:rPr>
          <w:color w:val="auto"/>
          <w:highlight w:val="none"/>
        </w:rPr>
        <w:t>。建议</w:t>
      </w:r>
      <w:r>
        <w:rPr>
          <w:rFonts w:hint="eastAsia"/>
          <w:color w:val="auto"/>
          <w:highlight w:val="none"/>
        </w:rPr>
        <w:t>使用专业清洗</w:t>
      </w:r>
      <w:r>
        <w:rPr>
          <w:color w:val="auto"/>
          <w:highlight w:val="none"/>
        </w:rPr>
        <w:t>机械</w:t>
      </w:r>
      <w:r>
        <w:rPr>
          <w:rFonts w:hint="eastAsia"/>
          <w:color w:val="auto"/>
          <w:highlight w:val="none"/>
        </w:rPr>
        <w:t>对</w:t>
      </w:r>
      <w:r>
        <w:rPr>
          <w:color w:val="auto"/>
          <w:highlight w:val="none"/>
        </w:rPr>
        <w:t>吸水管壁和暗管</w:t>
      </w:r>
      <w:r>
        <w:rPr>
          <w:rFonts w:hint="eastAsia"/>
          <w:color w:val="auto"/>
          <w:highlight w:val="none"/>
        </w:rPr>
        <w:t>进行清淤，</w:t>
      </w:r>
      <w:r>
        <w:rPr>
          <w:color w:val="auto"/>
          <w:highlight w:val="none"/>
        </w:rPr>
        <w:t>具体操作要求见附录</w:t>
      </w:r>
      <w:r>
        <w:rPr>
          <w:rFonts w:hint="eastAsia"/>
          <w:color w:val="auto"/>
          <w:highlight w:val="none"/>
          <w:lang w:val="en-US" w:eastAsia="zh-CN"/>
        </w:rPr>
        <w:t>L</w:t>
      </w:r>
      <w:r>
        <w:rPr>
          <w:color w:val="auto"/>
          <w:highlight w:val="none"/>
        </w:rPr>
        <w:t>。冬季应做好有关设施及设备的防冻保护。</w:t>
      </w:r>
    </w:p>
    <w:p w14:paraId="1732671A">
      <w:pPr>
        <w:pStyle w:val="71"/>
        <w:rPr>
          <w:rFonts w:hint="eastAsia"/>
          <w:color w:val="auto"/>
          <w:highlight w:val="none"/>
        </w:rPr>
      </w:pPr>
      <w:bookmarkStart w:id="388" w:name="_Toc30589"/>
      <w:bookmarkStart w:id="389" w:name="_Toc17659"/>
      <w:bookmarkStart w:id="390" w:name="_Toc28281"/>
      <w:bookmarkStart w:id="391" w:name="_Toc8446"/>
      <w:bookmarkStart w:id="392" w:name="_Toc299889788"/>
      <w:bookmarkStart w:id="393" w:name="_Toc522140518"/>
      <w:bookmarkStart w:id="394" w:name="_Toc10059"/>
      <w:bookmarkStart w:id="395" w:name="_Toc32397"/>
      <w:bookmarkStart w:id="396" w:name="_Toc520823490"/>
      <w:bookmarkStart w:id="397" w:name="_Toc520709321"/>
      <w:r>
        <w:rPr>
          <w:rFonts w:hint="eastAsia"/>
          <w:color w:val="auto"/>
          <w:highlight w:val="none"/>
        </w:rPr>
        <w:t>运行管理</w:t>
      </w:r>
      <w:bookmarkEnd w:id="388"/>
      <w:bookmarkEnd w:id="389"/>
      <w:bookmarkEnd w:id="390"/>
      <w:bookmarkEnd w:id="391"/>
      <w:bookmarkEnd w:id="392"/>
      <w:bookmarkEnd w:id="393"/>
      <w:bookmarkEnd w:id="394"/>
      <w:bookmarkEnd w:id="395"/>
      <w:bookmarkEnd w:id="396"/>
      <w:bookmarkEnd w:id="397"/>
    </w:p>
    <w:p w14:paraId="17A6EB2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cs="宋体"/>
          <w:color w:val="auto"/>
          <w:highlight w:val="none"/>
        </w:rPr>
      </w:pPr>
      <w:r>
        <w:rPr>
          <w:rFonts w:hint="eastAsia" w:ascii="黑体" w:hAnsi="黑体" w:eastAsia="黑体" w:cs="黑体"/>
          <w:color w:val="auto"/>
          <w:sz w:val="21"/>
          <w:szCs w:val="21"/>
          <w:highlight w:val="none"/>
          <w:lang w:val="en-US" w:eastAsia="zh-CN" w:bidi="ar-SA"/>
        </w:rPr>
        <w:t>9.3.1 基本</w:t>
      </w:r>
      <w:r>
        <w:rPr>
          <w:rFonts w:hint="eastAsia" w:ascii="黑体" w:hAnsi="黑体" w:eastAsia="黑体" w:cs="宋体"/>
          <w:color w:val="auto"/>
          <w:highlight w:val="none"/>
        </w:rPr>
        <w:t>要求</w:t>
      </w:r>
    </w:p>
    <w:p w14:paraId="3F28CB1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暗管排水工程的运行管理应充分发挥工程效益，确保在设计标准条件下正常发挥作用，满足排水要求。</w:t>
      </w:r>
      <w:r>
        <w:rPr>
          <w:rFonts w:hint="eastAsia"/>
          <w:color w:val="auto"/>
          <w:highlight w:val="none"/>
        </w:rPr>
        <w:t>逐步优化系统运行，实现与灌溉系统的联合调度。</w:t>
      </w:r>
    </w:p>
    <w:p w14:paraId="69604473">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管理机构应根据当地自然条件和不同作物各生育期的耐涝、渍和耐盐碱能力，制定运行管理方案。运行过程中，应随时掌握雨情、水情、旱情、涝情和土壤水分、盐分情况，及时协调各项工程的排水与调控作用，充分发挥排水系统的整体效益。</w:t>
      </w:r>
    </w:p>
    <w:p w14:paraId="195E6BA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sz w:val="21"/>
          <w:szCs w:val="21"/>
          <w:highlight w:val="none"/>
          <w:lang w:val="en-US" w:eastAsia="zh-CN" w:bidi="ar-SA"/>
        </w:rPr>
        <w:t>9.3.2 不同类</w:t>
      </w:r>
      <w:r>
        <w:rPr>
          <w:rFonts w:ascii="黑体" w:hAnsi="黑体" w:eastAsia="黑体"/>
          <w:color w:val="auto"/>
          <w:highlight w:val="none"/>
        </w:rPr>
        <w:t>型田间排水管理</w:t>
      </w:r>
    </w:p>
    <w:p w14:paraId="0309DBA7">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不同类型田间排水管理应</w:t>
      </w:r>
      <w:r>
        <w:rPr>
          <w:rFonts w:hint="eastAsia"/>
          <w:color w:val="auto"/>
          <w:highlight w:val="none"/>
          <w:lang w:val="en-US" w:eastAsia="zh-CN"/>
        </w:rPr>
        <w:t>满足</w:t>
      </w:r>
      <w:r>
        <w:rPr>
          <w:rFonts w:hint="eastAsia"/>
          <w:color w:val="auto"/>
          <w:highlight w:val="none"/>
        </w:rPr>
        <w:t>：</w:t>
      </w:r>
      <w:r>
        <w:rPr>
          <w:color w:val="auto"/>
          <w:highlight w:val="none"/>
        </w:rPr>
        <w:t>（</w:t>
      </w:r>
      <w:r>
        <w:rPr>
          <w:rFonts w:hint="eastAsia"/>
          <w:color w:val="auto"/>
          <w:highlight w:val="none"/>
        </w:rPr>
        <w:t>1）</w:t>
      </w:r>
      <w:r>
        <w:rPr>
          <w:color w:val="auto"/>
          <w:highlight w:val="none"/>
        </w:rPr>
        <w:t>稻作区晒田和落干期应按当时的气候情况和要求的地下水埋深，严格控制排水时间</w:t>
      </w:r>
      <w:r>
        <w:rPr>
          <w:rFonts w:hint="eastAsia"/>
          <w:color w:val="auto"/>
          <w:highlight w:val="none"/>
          <w:lang w:eastAsia="zh-CN"/>
        </w:rPr>
        <w:t>；</w:t>
      </w:r>
      <w:r>
        <w:rPr>
          <w:color w:val="auto"/>
          <w:highlight w:val="none"/>
        </w:rPr>
        <w:t>灌溉期应按田间水管理要求进行排水；降雨或施肥后应控制排水，减少化肥流失，控制面源污染</w:t>
      </w:r>
      <w:r>
        <w:rPr>
          <w:rFonts w:hint="eastAsia"/>
          <w:color w:val="auto"/>
          <w:highlight w:val="none"/>
        </w:rPr>
        <w:t>；（2）</w:t>
      </w:r>
      <w:r>
        <w:rPr>
          <w:color w:val="auto"/>
          <w:highlight w:val="none"/>
        </w:rPr>
        <w:t>旱作区正常情况下应按作物不同生育期的适宜地下水埋深和降速要求进行排水</w:t>
      </w:r>
      <w:r>
        <w:rPr>
          <w:rFonts w:hint="eastAsia"/>
          <w:color w:val="auto"/>
          <w:highlight w:val="none"/>
          <w:lang w:eastAsia="zh-CN"/>
        </w:rPr>
        <w:t>，</w:t>
      </w:r>
      <w:r>
        <w:rPr>
          <w:color w:val="auto"/>
          <w:highlight w:val="none"/>
        </w:rPr>
        <w:t>干旱季节应根据墒情和防治盐碱要求调控地下水位</w:t>
      </w:r>
      <w:r>
        <w:rPr>
          <w:rFonts w:hint="eastAsia"/>
          <w:color w:val="auto"/>
          <w:highlight w:val="none"/>
        </w:rPr>
        <w:t>；（3）</w:t>
      </w:r>
      <w:r>
        <w:rPr>
          <w:color w:val="auto"/>
          <w:highlight w:val="none"/>
        </w:rPr>
        <w:t>轮作区应分别根据当年作物种植种类制定相应的排水调控方案</w:t>
      </w:r>
      <w:r>
        <w:rPr>
          <w:rFonts w:hint="eastAsia"/>
          <w:color w:val="auto"/>
          <w:highlight w:val="none"/>
        </w:rPr>
        <w:t>；（4）土壤盐碱化严重而单一竖井排水效果差的井灌井排地区，田间铺设暗管排水系统，采用暗管与竖井排水相结合的地下水位调控措施</w:t>
      </w:r>
      <w:r>
        <w:rPr>
          <w:rFonts w:hint="eastAsia"/>
          <w:color w:val="auto"/>
          <w:highlight w:val="none"/>
          <w:lang w:eastAsia="zh-CN"/>
        </w:rPr>
        <w:t>；</w:t>
      </w:r>
      <w:r>
        <w:rPr>
          <w:rFonts w:hint="eastAsia"/>
          <w:color w:val="auto"/>
          <w:highlight w:val="none"/>
        </w:rPr>
        <w:t>汛前应结合灌溉将地下水位降至防涝蓄水深度以下</w:t>
      </w:r>
      <w:r>
        <w:rPr>
          <w:rFonts w:hint="eastAsia"/>
          <w:color w:val="auto"/>
          <w:highlight w:val="none"/>
          <w:lang w:eastAsia="zh-CN"/>
        </w:rPr>
        <w:t>；</w:t>
      </w:r>
      <w:r>
        <w:rPr>
          <w:rFonts w:hint="eastAsia"/>
          <w:color w:val="auto"/>
          <w:highlight w:val="none"/>
        </w:rPr>
        <w:t>汛期应调控在排渍深度以下</w:t>
      </w:r>
      <w:r>
        <w:rPr>
          <w:rFonts w:hint="eastAsia"/>
          <w:color w:val="auto"/>
          <w:highlight w:val="none"/>
          <w:lang w:eastAsia="zh-CN"/>
        </w:rPr>
        <w:t>；</w:t>
      </w:r>
      <w:r>
        <w:rPr>
          <w:rFonts w:hint="eastAsia"/>
          <w:color w:val="auto"/>
          <w:highlight w:val="none"/>
        </w:rPr>
        <w:t>汛后应在强烈返盐期前排降至临界深度以下；（5）</w:t>
      </w:r>
      <w:r>
        <w:rPr>
          <w:color w:val="auto"/>
          <w:highlight w:val="none"/>
        </w:rPr>
        <w:t>有条件的地区，可实行控制排水，增加对雨水的利用，缓解雨后土壤干旱现象，减少水肥流失。</w:t>
      </w:r>
    </w:p>
    <w:p w14:paraId="2A3801C8">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sz w:val="21"/>
          <w:szCs w:val="21"/>
          <w:highlight w:val="none"/>
          <w:lang w:val="en-US" w:eastAsia="zh-CN" w:bidi="ar-SA"/>
        </w:rPr>
        <w:t>9.3.4 农田排</w:t>
      </w:r>
      <w:r>
        <w:rPr>
          <w:rFonts w:ascii="黑体" w:hAnsi="黑体" w:eastAsia="黑体"/>
          <w:color w:val="auto"/>
          <w:highlight w:val="none"/>
        </w:rPr>
        <w:t>水再利用</w:t>
      </w:r>
    </w:p>
    <w:p w14:paraId="0B91BD08">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rFonts w:hint="eastAsia"/>
          <w:color w:val="auto"/>
          <w:highlight w:val="none"/>
        </w:rPr>
        <w:t>农田排水再利用</w:t>
      </w:r>
      <w:r>
        <w:rPr>
          <w:color w:val="auto"/>
          <w:highlight w:val="none"/>
        </w:rPr>
        <w:t>应以不影响作物产量和品质以及土壤和</w:t>
      </w:r>
      <w:r>
        <w:rPr>
          <w:rFonts w:hint="eastAsia"/>
          <w:color w:val="auto"/>
          <w:highlight w:val="none"/>
        </w:rPr>
        <w:t>水环境</w:t>
      </w:r>
      <w:r>
        <w:rPr>
          <w:color w:val="auto"/>
          <w:highlight w:val="none"/>
        </w:rPr>
        <w:t>为原则，并应符合下列规定</w:t>
      </w:r>
      <w:r>
        <w:rPr>
          <w:rFonts w:hint="eastAsia"/>
          <w:color w:val="auto"/>
          <w:highlight w:val="none"/>
        </w:rPr>
        <w:t>：（1）</w:t>
      </w:r>
      <w:r>
        <w:rPr>
          <w:color w:val="auto"/>
          <w:highlight w:val="none"/>
        </w:rPr>
        <w:t>利用农田排出水灌溉的水质要求，原则上应符合灌溉水质标准</w:t>
      </w:r>
      <w:r>
        <w:rPr>
          <w:rFonts w:hint="eastAsia"/>
          <w:color w:val="auto"/>
          <w:highlight w:val="none"/>
          <w:lang w:eastAsia="zh-CN"/>
        </w:rPr>
        <w:t>；（</w:t>
      </w:r>
      <w:r>
        <w:rPr>
          <w:rFonts w:hint="eastAsia"/>
          <w:color w:val="auto"/>
          <w:highlight w:val="none"/>
          <w:lang w:val="en-US" w:eastAsia="zh-CN"/>
        </w:rPr>
        <w:t>2）</w:t>
      </w:r>
      <w:r>
        <w:rPr>
          <w:color w:val="auto"/>
          <w:highlight w:val="none"/>
        </w:rPr>
        <w:t>严重干旱的盐碱地区或在抗旱灌溉期间，使用较高矿化水灌溉后，应及时采取有效措施，防止土壤返盐，并确保土壤水盐平衡</w:t>
      </w:r>
      <w:r>
        <w:rPr>
          <w:rFonts w:hint="eastAsia"/>
          <w:color w:val="auto"/>
          <w:highlight w:val="none"/>
        </w:rPr>
        <w:t>；（</w:t>
      </w:r>
      <w:r>
        <w:rPr>
          <w:rFonts w:hint="eastAsia"/>
          <w:color w:val="auto"/>
          <w:highlight w:val="none"/>
          <w:lang w:val="en-US" w:eastAsia="zh-CN"/>
        </w:rPr>
        <w:t>3</w:t>
      </w:r>
      <w:r>
        <w:rPr>
          <w:rFonts w:hint="eastAsia"/>
          <w:color w:val="auto"/>
          <w:highlight w:val="none"/>
        </w:rPr>
        <w:t>）</w:t>
      </w:r>
      <w:r>
        <w:rPr>
          <w:color w:val="auto"/>
          <w:highlight w:val="none"/>
        </w:rPr>
        <w:t>在水资源紧缺地区，对于矿化度偏高的排出水，可与淡水混合符合使用要求后进行灌溉，亦可采用采用作物对盐分敏感期用淡水灌溉、对盐分不敏感期用咸水灌溉的轮灌方法，或通过耐盐碱与非耐盐碱作物的轮作实现轮灌，防止土壤积盐</w:t>
      </w:r>
      <w:r>
        <w:rPr>
          <w:rFonts w:hint="eastAsia"/>
          <w:color w:val="auto"/>
          <w:highlight w:val="none"/>
        </w:rPr>
        <w:t>；（</w:t>
      </w:r>
      <w:r>
        <w:rPr>
          <w:rFonts w:hint="eastAsia"/>
          <w:color w:val="auto"/>
          <w:highlight w:val="none"/>
          <w:lang w:val="en-US" w:eastAsia="zh-CN"/>
        </w:rPr>
        <w:t>4</w:t>
      </w:r>
      <w:r>
        <w:rPr>
          <w:rFonts w:hint="eastAsia"/>
          <w:color w:val="auto"/>
          <w:highlight w:val="none"/>
        </w:rPr>
        <w:t>）</w:t>
      </w:r>
      <w:r>
        <w:rPr>
          <w:color w:val="auto"/>
          <w:highlight w:val="none"/>
        </w:rPr>
        <w:t>应根据暗管排水工程的排水量和水质变化，结合其控制面积内作物种植结构及不同生育期的耐盐能力，拟定排水再利用的时间、水量、范围和相应</w:t>
      </w:r>
      <w:r>
        <w:rPr>
          <w:rFonts w:hint="eastAsia"/>
          <w:color w:val="auto"/>
          <w:highlight w:val="none"/>
          <w:lang w:val="en-US" w:eastAsia="zh-CN"/>
        </w:rPr>
        <w:t>的检测</w:t>
      </w:r>
      <w:r>
        <w:rPr>
          <w:color w:val="auto"/>
          <w:highlight w:val="none"/>
        </w:rPr>
        <w:t>措施。</w:t>
      </w:r>
    </w:p>
    <w:p w14:paraId="61CF1E79">
      <w:pPr>
        <w:pStyle w:val="71"/>
        <w:rPr>
          <w:rFonts w:hint="eastAsia"/>
          <w:color w:val="auto"/>
          <w:highlight w:val="none"/>
          <w:lang w:val="en-US" w:eastAsia="zh-CN"/>
        </w:rPr>
      </w:pPr>
      <w:bookmarkStart w:id="398" w:name="_Toc27005"/>
      <w:bookmarkStart w:id="399" w:name="_Toc522140519"/>
      <w:bookmarkStart w:id="400" w:name="_Toc13756"/>
      <w:bookmarkStart w:id="401" w:name="_Toc1023"/>
      <w:bookmarkStart w:id="402" w:name="_Toc31266"/>
      <w:bookmarkStart w:id="403" w:name="_Toc27691"/>
      <w:bookmarkStart w:id="404" w:name="_Toc299889789"/>
      <w:bookmarkStart w:id="405" w:name="_Toc520823491"/>
      <w:bookmarkStart w:id="406" w:name="_Toc31708"/>
      <w:bookmarkStart w:id="407" w:name="_Toc520709322"/>
      <w:r>
        <w:rPr>
          <w:rFonts w:hint="eastAsia"/>
          <w:color w:val="auto"/>
          <w:highlight w:val="none"/>
          <w:lang w:val="en-US" w:eastAsia="zh-CN"/>
        </w:rPr>
        <w:t>效果监测</w:t>
      </w:r>
      <w:bookmarkEnd w:id="398"/>
      <w:bookmarkEnd w:id="399"/>
      <w:bookmarkEnd w:id="400"/>
      <w:bookmarkEnd w:id="401"/>
      <w:bookmarkEnd w:id="402"/>
      <w:bookmarkEnd w:id="403"/>
      <w:bookmarkEnd w:id="404"/>
      <w:bookmarkEnd w:id="405"/>
      <w:bookmarkEnd w:id="406"/>
      <w:bookmarkEnd w:id="407"/>
    </w:p>
    <w:p w14:paraId="1DBBF74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cs="Times New Roman"/>
          <w:color w:val="auto"/>
          <w:highlight w:val="none"/>
        </w:rPr>
      </w:pPr>
      <w:r>
        <w:rPr>
          <w:rFonts w:hint="eastAsia" w:ascii="黑体" w:hAnsi="黑体" w:eastAsia="黑体" w:cs="黑体"/>
          <w:color w:val="auto"/>
          <w:sz w:val="21"/>
          <w:szCs w:val="21"/>
          <w:highlight w:val="none"/>
          <w:lang w:val="en-US" w:eastAsia="zh-CN" w:bidi="ar-SA"/>
        </w:rPr>
        <w:t>9.4.1 基本</w:t>
      </w:r>
      <w:r>
        <w:rPr>
          <w:rFonts w:hint="eastAsia" w:ascii="黑体" w:hAnsi="黑体" w:eastAsia="黑体" w:cs="黑体"/>
          <w:color w:val="auto"/>
          <w:highlight w:val="none"/>
        </w:rPr>
        <w:t>要求</w:t>
      </w:r>
    </w:p>
    <w:p w14:paraId="2D637A7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暗管排水管理机构应对治理区涝渍盐碱发生情况、农业生产、工程运行及生态环境状况等相关的基础数据进行必要的监测，积累实践资料，指导暗管排水管理工作。</w:t>
      </w:r>
    </w:p>
    <w:p w14:paraId="2E1D8195">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sz w:val="21"/>
          <w:szCs w:val="21"/>
          <w:highlight w:val="none"/>
          <w:lang w:val="en-US" w:eastAsia="zh-CN" w:bidi="ar-SA"/>
        </w:rPr>
        <w:t>9.4.2 监</w:t>
      </w:r>
      <w:r>
        <w:rPr>
          <w:rFonts w:hint="eastAsia" w:ascii="黑体" w:hAnsi="黑体" w:eastAsia="黑体" w:cs="黑体"/>
          <w:color w:val="auto"/>
          <w:highlight w:val="none"/>
        </w:rPr>
        <w:t>测内容</w:t>
      </w:r>
    </w:p>
    <w:p w14:paraId="686B7D37">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监测应包括下列内容</w:t>
      </w:r>
      <w:r>
        <w:rPr>
          <w:rFonts w:hint="eastAsia"/>
          <w:color w:val="auto"/>
          <w:highlight w:val="none"/>
        </w:rPr>
        <w:t>：（1）</w:t>
      </w:r>
      <w:r>
        <w:rPr>
          <w:color w:val="auto"/>
          <w:highlight w:val="none"/>
        </w:rPr>
        <w:t>暴雨及涝灾情况</w:t>
      </w:r>
      <w:r>
        <w:rPr>
          <w:rFonts w:hint="eastAsia"/>
          <w:color w:val="auto"/>
          <w:highlight w:val="none"/>
        </w:rPr>
        <w:t>：</w:t>
      </w:r>
      <w:r>
        <w:rPr>
          <w:color w:val="auto"/>
          <w:highlight w:val="none"/>
        </w:rPr>
        <w:t>暴雨量及其历时，承泄区水位状况，暗管排水流量及排水时间，农田受淹面积及淹水深度等</w:t>
      </w:r>
      <w:r>
        <w:rPr>
          <w:rFonts w:hint="eastAsia"/>
          <w:color w:val="auto"/>
          <w:highlight w:val="none"/>
        </w:rPr>
        <w:t>；（2）</w:t>
      </w:r>
      <w:r>
        <w:rPr>
          <w:color w:val="auto"/>
          <w:highlight w:val="none"/>
        </w:rPr>
        <w:t>农田水分及渍害情况</w:t>
      </w:r>
      <w:r>
        <w:rPr>
          <w:rFonts w:hint="eastAsia"/>
          <w:color w:val="auto"/>
          <w:highlight w:val="none"/>
        </w:rPr>
        <w:t>：</w:t>
      </w:r>
      <w:r>
        <w:rPr>
          <w:color w:val="auto"/>
          <w:highlight w:val="none"/>
        </w:rPr>
        <w:t>地下水位变化过程，土壤水分状况及其理化性状，渗漏率，日常排渍流量，农田受渍面积及受渍时间等</w:t>
      </w:r>
      <w:r>
        <w:rPr>
          <w:rFonts w:hint="eastAsia"/>
          <w:color w:val="auto"/>
          <w:highlight w:val="none"/>
        </w:rPr>
        <w:t>；（3）</w:t>
      </w:r>
      <w:r>
        <w:rPr>
          <w:color w:val="auto"/>
          <w:highlight w:val="none"/>
        </w:rPr>
        <w:t>土壤盐碱化情况监测</w:t>
      </w:r>
      <w:r>
        <w:rPr>
          <w:rFonts w:hint="eastAsia"/>
          <w:color w:val="auto"/>
          <w:highlight w:val="none"/>
        </w:rPr>
        <w:t>：</w:t>
      </w:r>
      <w:r>
        <w:rPr>
          <w:color w:val="auto"/>
          <w:highlight w:val="none"/>
        </w:rPr>
        <w:t>土壤盐碱化分布情况及面积，作物根层土壤盐分和地下水矿化度，灌溉水量及矿化度，排水水量及矿化度等</w:t>
      </w:r>
      <w:r>
        <w:rPr>
          <w:rFonts w:hint="eastAsia"/>
          <w:color w:val="auto"/>
          <w:highlight w:val="none"/>
        </w:rPr>
        <w:t>；（4）</w:t>
      </w:r>
      <w:r>
        <w:rPr>
          <w:color w:val="auto"/>
          <w:highlight w:val="none"/>
        </w:rPr>
        <w:t>工程运行情况</w:t>
      </w:r>
      <w:r>
        <w:rPr>
          <w:rFonts w:hint="eastAsia"/>
          <w:color w:val="auto"/>
          <w:highlight w:val="none"/>
        </w:rPr>
        <w:t>：</w:t>
      </w:r>
      <w:r>
        <w:rPr>
          <w:color w:val="auto"/>
          <w:highlight w:val="none"/>
        </w:rPr>
        <w:t>暗管出水口排水量、抽排泵站等排水设施运行天数或时数</w:t>
      </w:r>
      <w:r>
        <w:rPr>
          <w:rFonts w:hint="eastAsia"/>
          <w:color w:val="auto"/>
          <w:highlight w:val="none"/>
        </w:rPr>
        <w:t>，</w:t>
      </w:r>
      <w:r>
        <w:rPr>
          <w:color w:val="auto"/>
          <w:highlight w:val="none"/>
        </w:rPr>
        <w:t>排水设施故障及维修情况，暗管排水入沟的沟道淤积情况等</w:t>
      </w:r>
      <w:r>
        <w:rPr>
          <w:rFonts w:hint="eastAsia"/>
          <w:color w:val="auto"/>
          <w:highlight w:val="none"/>
        </w:rPr>
        <w:t>。</w:t>
      </w:r>
    </w:p>
    <w:p w14:paraId="46A4A415">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ascii="黑体" w:hAnsi="黑体" w:eastAsia="黑体" w:cs="黑体"/>
          <w:color w:val="auto"/>
          <w:highlight w:val="none"/>
        </w:rPr>
      </w:pPr>
      <w:r>
        <w:rPr>
          <w:rFonts w:hint="eastAsia" w:ascii="黑体" w:hAnsi="黑体" w:eastAsia="黑体" w:cs="黑体"/>
          <w:color w:val="auto"/>
          <w:sz w:val="21"/>
          <w:szCs w:val="21"/>
          <w:highlight w:val="none"/>
          <w:lang w:val="en-US" w:eastAsia="zh-CN" w:bidi="ar-SA"/>
        </w:rPr>
        <w:t>9.4.3 监测</w:t>
      </w:r>
      <w:r>
        <w:rPr>
          <w:rFonts w:hint="eastAsia" w:ascii="黑体" w:hAnsi="黑体" w:eastAsia="黑体" w:cs="黑体"/>
          <w:color w:val="auto"/>
          <w:highlight w:val="none"/>
        </w:rPr>
        <w:t>周期</w:t>
      </w:r>
    </w:p>
    <w:p w14:paraId="7ED23722">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监测频次应满足排水管理实际需要，可根据监测内容采取逐日、逐旬、逐月或不定期监测。</w:t>
      </w:r>
    </w:p>
    <w:p w14:paraId="0EC7E61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ascii="黑体" w:hAnsi="黑体" w:eastAsia="黑体" w:cs="黑体"/>
          <w:color w:val="auto"/>
          <w:highlight w:val="none"/>
        </w:rPr>
      </w:pPr>
      <w:r>
        <w:rPr>
          <w:rFonts w:hint="eastAsia" w:ascii="黑体" w:hAnsi="黑体" w:eastAsia="黑体" w:cs="黑体"/>
          <w:color w:val="auto"/>
          <w:sz w:val="21"/>
          <w:szCs w:val="21"/>
          <w:highlight w:val="none"/>
          <w:lang w:val="en-US" w:eastAsia="zh-CN" w:bidi="ar-SA"/>
        </w:rPr>
        <w:t>9.4.4 治渍效</w:t>
      </w:r>
      <w:r>
        <w:rPr>
          <w:rFonts w:hint="eastAsia" w:ascii="黑体" w:hAnsi="黑体" w:eastAsia="黑体" w:cs="黑体"/>
          <w:color w:val="auto"/>
          <w:highlight w:val="none"/>
        </w:rPr>
        <w:t>果监测</w:t>
      </w:r>
    </w:p>
    <w:p w14:paraId="258F7EF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color w:val="auto"/>
          <w:highlight w:val="none"/>
        </w:rPr>
        <w:t>地下水位年内变化过程，农作物生育阶段的土壤水分状况及其理化性状，稻田适宜渗漏率、工程排水量、治渍排水模数、增产效益与改善机械作业效果分析等</w:t>
      </w:r>
      <w:r>
        <w:rPr>
          <w:rFonts w:hint="eastAsia"/>
          <w:color w:val="auto"/>
          <w:highlight w:val="none"/>
        </w:rPr>
        <w:t>。</w:t>
      </w:r>
    </w:p>
    <w:p w14:paraId="44AA1318">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9.4.5 防治盐</w:t>
      </w:r>
      <w:r>
        <w:rPr>
          <w:rFonts w:hint="eastAsia" w:ascii="黑体" w:hAnsi="黑体" w:eastAsia="黑体" w:cs="黑体"/>
          <w:color w:val="auto"/>
          <w:highlight w:val="none"/>
        </w:rPr>
        <w:t>碱化效果监测</w:t>
      </w:r>
    </w:p>
    <w:p w14:paraId="4988736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rFonts w:hint="eastAsia"/>
          <w:color w:val="auto"/>
          <w:highlight w:val="none"/>
        </w:rPr>
      </w:pPr>
      <w:r>
        <w:rPr>
          <w:color w:val="auto"/>
          <w:highlight w:val="none"/>
        </w:rPr>
        <w:t>作物根层盐分和地下水矿化度的变化，地下水位在年内的变化过程，工程的排水量、排盐量、排水模数、灌排总水量比值，以及土壤理化性状改善和增产效果分析等</w:t>
      </w:r>
      <w:r>
        <w:rPr>
          <w:rFonts w:hint="eastAsia"/>
          <w:color w:val="auto"/>
          <w:highlight w:val="none"/>
        </w:rPr>
        <w:t>。</w:t>
      </w:r>
    </w:p>
    <w:p w14:paraId="1D7F37B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color w:val="auto"/>
          <w:highlight w:val="none"/>
        </w:rPr>
      </w:pPr>
      <w:r>
        <w:rPr>
          <w:rFonts w:hint="eastAsia" w:ascii="黑体" w:hAnsi="黑体" w:eastAsia="黑体" w:cs="黑体"/>
          <w:color w:val="auto"/>
          <w:sz w:val="21"/>
          <w:szCs w:val="21"/>
          <w:highlight w:val="none"/>
          <w:lang w:val="en-US" w:eastAsia="zh-CN" w:bidi="ar-SA"/>
        </w:rPr>
        <w:t>9.4.6 监测</w:t>
      </w:r>
      <w:r>
        <w:rPr>
          <w:rFonts w:hint="eastAsia" w:ascii="黑体" w:hAnsi="黑体" w:eastAsia="黑体" w:cs="黑体"/>
          <w:color w:val="auto"/>
          <w:highlight w:val="none"/>
        </w:rPr>
        <w:t>数据分析</w:t>
      </w:r>
    </w:p>
    <w:p w14:paraId="2927312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鼓励基于暗管排水工程效果监测资料的科学研究工作。有条件的情况下，可利用计算机模型进行长序列排水水文模拟，分析排水区域内不同土壤、种植形式以及水文气象条件变化对排水流量以及水质的影响，完善运行管理方案，实现排水系统的优化调度。</w:t>
      </w:r>
    </w:p>
    <w:p w14:paraId="5C5BEB6B">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对于监测中发现的问题，应及时客观地分析原因，总结经验，不断改进和提高暗管排水工程建设的质量和水平。</w:t>
      </w:r>
    </w:p>
    <w:p w14:paraId="6B89E9BA">
      <w:pPr>
        <w:pStyle w:val="71"/>
        <w:rPr>
          <w:rFonts w:hint="eastAsia"/>
          <w:color w:val="auto"/>
          <w:highlight w:val="none"/>
        </w:rPr>
      </w:pPr>
      <w:bookmarkStart w:id="408" w:name="_Toc520823492"/>
      <w:bookmarkStart w:id="409" w:name="_Toc6811"/>
      <w:bookmarkStart w:id="410" w:name="_Toc299889790"/>
      <w:bookmarkStart w:id="411" w:name="_Toc522140520"/>
      <w:bookmarkStart w:id="412" w:name="_Toc10909"/>
      <w:bookmarkStart w:id="413" w:name="_Toc520709323"/>
      <w:r>
        <w:rPr>
          <w:rFonts w:hint="eastAsia"/>
          <w:color w:val="auto"/>
          <w:highlight w:val="none"/>
        </w:rPr>
        <w:t>信息化管理</w:t>
      </w:r>
      <w:bookmarkEnd w:id="408"/>
      <w:bookmarkEnd w:id="409"/>
      <w:bookmarkEnd w:id="410"/>
      <w:bookmarkEnd w:id="411"/>
      <w:bookmarkEnd w:id="412"/>
      <w:bookmarkEnd w:id="413"/>
    </w:p>
    <w:p w14:paraId="5FA0B14F">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9.5.1</w:t>
      </w:r>
      <w:r>
        <w:rPr>
          <w:rFonts w:hint="eastAsia" w:ascii="宋体" w:hAnsi="宋体" w:eastAsia="宋体" w:cs="宋体"/>
          <w:color w:val="auto"/>
          <w:highlight w:val="none"/>
        </w:rPr>
        <w:t xml:space="preserve"> </w:t>
      </w:r>
      <w:r>
        <w:rPr>
          <w:rFonts w:hint="eastAsia"/>
          <w:color w:val="auto"/>
          <w:highlight w:val="none"/>
        </w:rPr>
        <w:t>暗管排水工程应遵循“统筹规划、整合共享，统一标准、安全优先”的原则，并按照国家和水利行业有关信息化技术标准进行项目信息化规划，建立项目信息管理制度，明确工作职责、流程、实施与绩效评估、维护办法等。</w:t>
      </w:r>
    </w:p>
    <w:p w14:paraId="7DA3ACCD">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9.5.2</w:t>
      </w:r>
      <w:r>
        <w:rPr>
          <w:rFonts w:hint="eastAsia" w:ascii="宋体" w:hAnsi="宋体" w:eastAsia="宋体" w:cs="宋体"/>
          <w:color w:val="auto"/>
          <w:highlight w:val="none"/>
        </w:rPr>
        <w:t xml:space="preserve"> </w:t>
      </w:r>
      <w:r>
        <w:rPr>
          <w:rFonts w:hint="eastAsia"/>
          <w:color w:val="auto"/>
          <w:highlight w:val="none"/>
        </w:rPr>
        <w:t>采用信息化技术手段对暗管排水工程建设和运行的全过程进行管理，实现集中统一、全程面对、实时动态的管理手段。</w:t>
      </w:r>
    </w:p>
    <w:p w14:paraId="30C2124C">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9.5.3</w:t>
      </w:r>
      <w:r>
        <w:rPr>
          <w:rFonts w:hint="eastAsia" w:ascii="宋体" w:hAnsi="宋体" w:eastAsia="宋体" w:cs="宋体"/>
          <w:color w:val="auto"/>
          <w:highlight w:val="none"/>
        </w:rPr>
        <w:t xml:space="preserve"> </w:t>
      </w:r>
      <w:r>
        <w:rPr>
          <w:rFonts w:hint="eastAsia"/>
          <w:color w:val="auto"/>
          <w:highlight w:val="none"/>
        </w:rPr>
        <w:t>条件允许情况下，灌区暗管排水工程项目管理应与宁夏农村水利管理系统实现信息共享。</w:t>
      </w:r>
    </w:p>
    <w:p w14:paraId="1E5FC3E7">
      <w:pPr>
        <w:pStyle w:val="117"/>
        <w:keepNext w:val="0"/>
        <w:keepLines w:val="0"/>
        <w:pageBreakBefore w:val="0"/>
        <w:widowControl/>
        <w:numPr>
          <w:ilvl w:val="0"/>
          <w:numId w:val="0"/>
        </w:numPr>
        <w:kinsoku/>
        <w:wordWrap/>
        <w:overflowPunct/>
        <w:topLinePunct w:val="0"/>
        <w:autoSpaceDE/>
        <w:autoSpaceDN/>
        <w:bidi w:val="0"/>
        <w:adjustRightInd w:val="0"/>
        <w:snapToGrid w:val="0"/>
        <w:spacing w:line="240" w:lineRule="auto"/>
        <w:textAlignment w:val="auto"/>
        <w:rPr>
          <w:rFonts w:hint="eastAsia"/>
          <w:color w:val="auto"/>
          <w:highlight w:val="none"/>
        </w:rPr>
      </w:pPr>
      <w:r>
        <w:rPr>
          <w:rFonts w:hint="eastAsia" w:ascii="黑体" w:hAnsi="黑体" w:eastAsia="黑体" w:cs="黑体"/>
          <w:color w:val="auto"/>
          <w:sz w:val="21"/>
          <w:szCs w:val="21"/>
          <w:highlight w:val="none"/>
          <w:lang w:val="en-US" w:eastAsia="zh-CN" w:bidi="ar-SA"/>
        </w:rPr>
        <w:t>9.5.4</w:t>
      </w:r>
      <w:r>
        <w:rPr>
          <w:rFonts w:hint="eastAsia" w:ascii="宋体" w:hAnsi="宋体" w:eastAsia="宋体" w:cs="宋体"/>
          <w:color w:val="auto"/>
          <w:highlight w:val="none"/>
        </w:rPr>
        <w:t xml:space="preserve"> </w:t>
      </w:r>
      <w:r>
        <w:rPr>
          <w:rFonts w:hint="eastAsia"/>
          <w:color w:val="auto"/>
          <w:highlight w:val="none"/>
        </w:rPr>
        <w:t>及时将暗管排水工程信息化建设相关的管理、技术等资料立卷归档，归档资料应真实、完整。</w:t>
      </w:r>
    </w:p>
    <w:p w14:paraId="71369101">
      <w:pPr>
        <w:pStyle w:val="117"/>
        <w:keepNext w:val="0"/>
        <w:keepLines w:val="0"/>
        <w:pageBreakBefore w:val="0"/>
        <w:widowControl/>
        <w:numPr>
          <w:ilvl w:val="0"/>
          <w:numId w:val="0"/>
        </w:numPr>
        <w:kinsoku/>
        <w:wordWrap/>
        <w:overflowPunct/>
        <w:topLinePunct w:val="0"/>
        <w:autoSpaceDE/>
        <w:autoSpaceDN/>
        <w:bidi w:val="0"/>
        <w:adjustRightInd w:val="0"/>
        <w:snapToGrid w:val="0"/>
        <w:spacing w:line="360" w:lineRule="exact"/>
        <w:textAlignment w:val="auto"/>
        <w:rPr>
          <w:rFonts w:hint="eastAsia"/>
          <w:color w:val="auto"/>
          <w:highlight w:val="none"/>
        </w:rPr>
      </w:pPr>
    </w:p>
    <w:p w14:paraId="0987249C">
      <w:pPr>
        <w:pStyle w:val="103"/>
        <w:rPr>
          <w:rFonts w:hint="eastAsia"/>
          <w:color w:val="auto"/>
          <w:highlight w:val="none"/>
        </w:rPr>
      </w:pPr>
    </w:p>
    <w:p w14:paraId="0B70AF24">
      <w:pPr>
        <w:pStyle w:val="75"/>
        <w:rPr>
          <w:rFonts w:hint="eastAsia"/>
          <w:color w:val="auto"/>
          <w:highlight w:val="none"/>
        </w:rPr>
      </w:pPr>
      <w:bookmarkStart w:id="414" w:name="_Toc18024"/>
      <w:r>
        <w:rPr>
          <w:rFonts w:hint="eastAsia" w:ascii="宋体" w:hAnsi="宋体" w:eastAsia="宋体" w:cs="宋体"/>
          <w:color w:val="auto"/>
          <w:highlight w:val="none"/>
        </w:rPr>
        <w:br w:type="textWrapping"/>
      </w:r>
      <w:r>
        <w:rPr>
          <w:rFonts w:hint="eastAsia" w:ascii="宋体" w:hAnsi="宋体" w:eastAsia="宋体" w:cs="宋体"/>
          <w:color w:val="auto"/>
          <w:highlight w:val="none"/>
        </w:rPr>
        <w:t>（资料性附录）</w:t>
      </w:r>
      <w:r>
        <w:rPr>
          <w:rFonts w:hint="eastAsia" w:ascii="宋体" w:hAnsi="宋体" w:eastAsia="宋体" w:cs="宋体"/>
          <w:color w:val="auto"/>
          <w:highlight w:val="none"/>
        </w:rPr>
        <w:br w:type="textWrapping"/>
      </w:r>
      <w:r>
        <w:rPr>
          <w:rFonts w:hint="eastAsia"/>
          <w:color w:val="auto"/>
          <w:highlight w:val="none"/>
        </w:rPr>
        <w:t>土壤剖面性状调查方法</w:t>
      </w:r>
    </w:p>
    <w:p w14:paraId="4A96E328">
      <w:pPr>
        <w:keepNext w:val="0"/>
        <w:keepLines w:val="0"/>
        <w:pageBreakBefore w:val="0"/>
        <w:widowControl w:val="0"/>
        <w:kinsoku/>
        <w:wordWrap/>
        <w:overflowPunct/>
        <w:topLinePunct w:val="0"/>
        <w:autoSpaceDE w:val="0"/>
        <w:autoSpaceDN w:val="0"/>
        <w:bidi w:val="0"/>
        <w:adjustRightInd w:val="0"/>
        <w:snapToGrid/>
        <w:spacing w:line="240" w:lineRule="auto"/>
        <w:jc w:val="left"/>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val="en-US" w:eastAsia="zh-CN"/>
        </w:rPr>
        <w:t>A</w:t>
      </w:r>
      <w:r>
        <w:rPr>
          <w:rFonts w:hint="eastAsia" w:ascii="宋体" w:hAnsi="宋体" w:eastAsia="宋体" w:cs="宋体"/>
          <w:b/>
          <w:bCs/>
          <w:color w:val="auto"/>
          <w:szCs w:val="21"/>
          <w:highlight w:val="none"/>
        </w:rPr>
        <w:t>.1 田间钻孔法</w:t>
      </w:r>
    </w:p>
    <w:p w14:paraId="35DD4FD0">
      <w:pPr>
        <w:keepNext w:val="0"/>
        <w:keepLines w:val="0"/>
        <w:pageBreakBefore w:val="0"/>
        <w:kinsoku/>
        <w:wordWrap/>
        <w:overflowPunct/>
        <w:topLinePunct w:val="0"/>
        <w:autoSpaceDE w:val="0"/>
        <w:autoSpaceDN w:val="0"/>
        <w:bidi w:val="0"/>
        <w:adjustRightInd w:val="0"/>
        <w:snapToGrid/>
        <w:spacing w:line="240" w:lineRule="auto"/>
        <w:jc w:val="left"/>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val="en-US" w:eastAsia="zh-CN"/>
        </w:rPr>
        <w:t>A</w:t>
      </w:r>
      <w:r>
        <w:rPr>
          <w:rFonts w:hint="eastAsia" w:ascii="宋体" w:hAnsi="宋体" w:eastAsia="宋体" w:cs="宋体"/>
          <w:b/>
          <w:bCs/>
          <w:color w:val="auto"/>
          <w:szCs w:val="21"/>
          <w:highlight w:val="none"/>
        </w:rPr>
        <w:t>.1.l 方法要点</w:t>
      </w:r>
    </w:p>
    <w:p w14:paraId="63DD1436">
      <w:pPr>
        <w:keepNext w:val="0"/>
        <w:keepLines w:val="0"/>
        <w:pageBreakBefore w:val="0"/>
        <w:kinsoku/>
        <w:wordWrap/>
        <w:overflowPunct/>
        <w:topLinePunct w:val="0"/>
        <w:autoSpaceDE w:val="0"/>
        <w:autoSpaceDN w:val="0"/>
        <w:bidi w:val="0"/>
        <w:adjustRightInd w:val="0"/>
        <w:snapToGrid/>
        <w:spacing w:line="240" w:lineRule="auto"/>
        <w:ind w:firstLine="420" w:firstLineChars="200"/>
        <w:jc w:val="left"/>
        <w:textAlignment w:val="auto"/>
        <w:rPr>
          <w:rFonts w:hint="eastAsia" w:ascii="宋体" w:hAnsi="宋体" w:eastAsia="宋体" w:cs="宋体"/>
          <w:color w:val="auto"/>
          <w:highlight w:val="none"/>
        </w:rPr>
      </w:pPr>
      <w:r>
        <w:rPr>
          <w:rFonts w:hint="eastAsia" w:ascii="宋体" w:hAnsi="宋体" w:eastAsia="宋体" w:cs="宋体"/>
          <w:color w:val="auto"/>
          <w:szCs w:val="21"/>
          <w:highlight w:val="none"/>
        </w:rPr>
        <w:t>用土钻在调査区域布点位置进行钻孔，分层取土观测并取样。</w:t>
      </w:r>
    </w:p>
    <w:p w14:paraId="5BD33E96">
      <w:pPr>
        <w:keepNext w:val="0"/>
        <w:keepLines w:val="0"/>
        <w:pageBreakBefore w:val="0"/>
        <w:kinsoku/>
        <w:wordWrap/>
        <w:overflowPunct/>
        <w:topLinePunct w:val="0"/>
        <w:autoSpaceDE w:val="0"/>
        <w:autoSpaceDN w:val="0"/>
        <w:bidi w:val="0"/>
        <w:adjustRightInd w:val="0"/>
        <w:snapToGrid/>
        <w:spacing w:line="240" w:lineRule="auto"/>
        <w:jc w:val="left"/>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val="en-US" w:eastAsia="zh-CN"/>
        </w:rPr>
        <w:t>A</w:t>
      </w:r>
      <w:r>
        <w:rPr>
          <w:rFonts w:hint="eastAsia" w:ascii="宋体" w:hAnsi="宋体" w:eastAsia="宋体" w:cs="宋体"/>
          <w:b/>
          <w:bCs/>
          <w:color w:val="auto"/>
          <w:szCs w:val="21"/>
          <w:highlight w:val="none"/>
        </w:rPr>
        <w:t>.1.2 操作步骤</w:t>
      </w:r>
    </w:p>
    <w:p w14:paraId="40F1D967">
      <w:pPr>
        <w:keepNext w:val="0"/>
        <w:keepLines w:val="0"/>
        <w:pageBreakBefore w:val="0"/>
        <w:kinsoku/>
        <w:wordWrap/>
        <w:overflowPunct/>
        <w:topLinePunct w:val="0"/>
        <w:autoSpaceDE w:val="0"/>
        <w:autoSpaceDN w:val="0"/>
        <w:bidi w:val="0"/>
        <w:adjustRightInd w:val="0"/>
        <w:snapToGrid/>
        <w:spacing w:line="240" w:lineRule="auto"/>
        <w:jc w:val="left"/>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val="en-US" w:eastAsia="zh-CN"/>
        </w:rPr>
        <w:t>A</w:t>
      </w:r>
      <w:r>
        <w:rPr>
          <w:rFonts w:hint="eastAsia" w:ascii="宋体" w:hAnsi="宋体" w:eastAsia="宋体" w:cs="宋体"/>
          <w:b/>
          <w:bCs/>
          <w:color w:val="auto"/>
          <w:szCs w:val="21"/>
          <w:highlight w:val="none"/>
        </w:rPr>
        <w:t>.1.2.l 调查资料和工具</w:t>
      </w:r>
    </w:p>
    <w:p w14:paraId="25568B66">
      <w:pPr>
        <w:keepNext w:val="0"/>
        <w:keepLines w:val="0"/>
        <w:pageBreakBefore w:val="0"/>
        <w:kinsoku/>
        <w:wordWrap/>
        <w:overflowPunct/>
        <w:topLinePunct w:val="0"/>
        <w:autoSpaceDE w:val="0"/>
        <w:autoSpaceDN w:val="0"/>
        <w:bidi w:val="0"/>
        <w:adjustRightInd w:val="0"/>
        <w:snapToGrid/>
        <w:spacing w:line="240" w:lineRule="auto"/>
        <w:ind w:firstLine="420" w:firstLineChars="200"/>
        <w:jc w:val="left"/>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rPr>
        <w:t>调查区地形图、布点图、GPS、卷尺、土钻、塑料布（2 m</w:t>
      </w:r>
      <w:r>
        <w:rPr>
          <w:rFonts w:hint="default" w:ascii="Times New Roman" w:hAnsi="Times New Roman" w:eastAsia="宋体" w:cs="Times New Roman"/>
          <w:color w:val="auto"/>
          <w:szCs w:val="21"/>
          <w:highlight w:val="none"/>
        </w:rPr>
        <w:t>×</w:t>
      </w:r>
      <w:r>
        <w:rPr>
          <w:rFonts w:hint="eastAsia" w:ascii="宋体" w:hAnsi="宋体" w:eastAsia="宋体" w:cs="宋体"/>
          <w:color w:val="auto"/>
          <w:szCs w:val="21"/>
          <w:highlight w:val="none"/>
        </w:rPr>
        <w:t>2 m）、采样袋、标签、调查表等。</w:t>
      </w:r>
    </w:p>
    <w:p w14:paraId="3DA86213">
      <w:pPr>
        <w:keepNext w:val="0"/>
        <w:keepLines w:val="0"/>
        <w:pageBreakBefore w:val="0"/>
        <w:kinsoku/>
        <w:wordWrap/>
        <w:overflowPunct/>
        <w:topLinePunct w:val="0"/>
        <w:autoSpaceDE w:val="0"/>
        <w:autoSpaceDN w:val="0"/>
        <w:bidi w:val="0"/>
        <w:adjustRightInd w:val="0"/>
        <w:snapToGrid/>
        <w:spacing w:line="240" w:lineRule="auto"/>
        <w:jc w:val="left"/>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val="en-US" w:eastAsia="zh-CN"/>
        </w:rPr>
        <w:t>A</w:t>
      </w:r>
      <w:r>
        <w:rPr>
          <w:rFonts w:hint="eastAsia" w:ascii="宋体" w:hAnsi="宋体" w:eastAsia="宋体" w:cs="宋体"/>
          <w:b/>
          <w:bCs/>
          <w:color w:val="auto"/>
          <w:szCs w:val="21"/>
          <w:highlight w:val="none"/>
        </w:rPr>
        <w:t>.l.2.2 具体步骤</w:t>
      </w:r>
    </w:p>
    <w:p w14:paraId="7AF74960">
      <w:pPr>
        <w:pStyle w:val="85"/>
        <w:keepNext w:val="0"/>
        <w:keepLines w:val="0"/>
        <w:pageBreakBefore w:val="0"/>
        <w:widowControl/>
        <w:numPr>
          <w:ilvl w:val="0"/>
          <w:numId w:val="0"/>
        </w:numPr>
        <w:tabs>
          <w:tab w:val="clear" w:pos="845"/>
        </w:tabs>
        <w:kinsoku/>
        <w:wordWrap/>
        <w:overflowPunct/>
        <w:topLinePunct w:val="0"/>
        <w:autoSpaceDE/>
        <w:autoSpaceDN/>
        <w:bidi w:val="0"/>
        <w:adjustRightInd/>
        <w:snapToGrid/>
        <w:spacing w:line="240" w:lineRule="auto"/>
        <w:ind w:left="105" w:leftChars="50" w:firstLine="315" w:firstLineChars="150"/>
        <w:textAlignment w:val="auto"/>
        <w:rPr>
          <w:rFonts w:hint="eastAsia" w:ascii="宋体" w:hAnsi="宋体" w:eastAsia="宋体" w:cs="宋体"/>
          <w:color w:val="auto"/>
          <w:highlight w:val="none"/>
        </w:rPr>
      </w:pP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lang w:eastAsia="zh-CN"/>
        </w:rPr>
        <w:t>）</w:t>
      </w:r>
      <w:r>
        <w:rPr>
          <w:rFonts w:hint="eastAsia" w:ascii="宋体" w:hAnsi="宋体" w:eastAsia="宋体" w:cs="宋体"/>
          <w:color w:val="auto"/>
          <w:highlight w:val="none"/>
        </w:rPr>
        <w:t>按野外布点图用GPS定位样点，在田块内选取代表性最佳位置，能反映土层断面变化；距渠、沟、路等不少于10 m。</w:t>
      </w:r>
    </w:p>
    <w:p w14:paraId="69895496">
      <w:pPr>
        <w:pStyle w:val="85"/>
        <w:keepNext w:val="0"/>
        <w:keepLines w:val="0"/>
        <w:pageBreakBefore w:val="0"/>
        <w:widowControl/>
        <w:numPr>
          <w:ilvl w:val="0"/>
          <w:numId w:val="0"/>
        </w:numPr>
        <w:tabs>
          <w:tab w:val="clear" w:pos="845"/>
        </w:tabs>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color w:val="auto"/>
          <w:szCs w:val="22"/>
          <w:highlight w:val="none"/>
        </w:rPr>
      </w:pPr>
      <w:r>
        <w:rPr>
          <w:rFonts w:hint="eastAsia" w:ascii="宋体" w:hAnsi="宋体" w:eastAsia="宋体" w:cs="宋体"/>
          <w:color w:val="auto"/>
          <w:szCs w:val="22"/>
          <w:highlight w:val="none"/>
          <w:lang w:eastAsia="zh-CN"/>
        </w:rPr>
        <w:t>（</w:t>
      </w:r>
      <w:r>
        <w:rPr>
          <w:rFonts w:hint="eastAsia" w:ascii="宋体" w:hAnsi="宋体" w:eastAsia="宋体" w:cs="宋体"/>
          <w:color w:val="auto"/>
          <w:szCs w:val="22"/>
          <w:highlight w:val="none"/>
          <w:lang w:val="en-US" w:eastAsia="zh-CN"/>
        </w:rPr>
        <w:t>2</w:t>
      </w:r>
      <w:r>
        <w:rPr>
          <w:rFonts w:hint="eastAsia" w:ascii="宋体" w:hAnsi="宋体" w:eastAsia="宋体" w:cs="宋体"/>
          <w:color w:val="auto"/>
          <w:szCs w:val="22"/>
          <w:highlight w:val="none"/>
          <w:lang w:eastAsia="zh-CN"/>
        </w:rPr>
        <w:t>）</w:t>
      </w:r>
      <w:r>
        <w:rPr>
          <w:rFonts w:hint="eastAsia" w:ascii="宋体" w:hAnsi="宋体" w:eastAsia="宋体" w:cs="宋体"/>
          <w:color w:val="auto"/>
          <w:szCs w:val="22"/>
          <w:highlight w:val="none"/>
        </w:rPr>
        <w:t>清理并整平孔口周围约2 m²表土，防止疏松土和杂物落孔。另在孔左前方平整3 m×3 m地面铺塑料布，用于分层摆放土样，便于观察描述。</w:t>
      </w:r>
    </w:p>
    <w:p w14:paraId="6DC92FC1">
      <w:pPr>
        <w:pStyle w:val="85"/>
        <w:keepNext w:val="0"/>
        <w:keepLines w:val="0"/>
        <w:pageBreakBefore w:val="0"/>
        <w:widowControl/>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color w:val="auto"/>
          <w:highlight w:val="none"/>
        </w:rPr>
      </w:pP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3</w:t>
      </w:r>
      <w:r>
        <w:rPr>
          <w:rFonts w:hint="eastAsia" w:ascii="宋体" w:hAnsi="宋体" w:eastAsia="宋体" w:cs="宋体"/>
          <w:color w:val="auto"/>
          <w:highlight w:val="none"/>
          <w:lang w:eastAsia="zh-CN"/>
        </w:rPr>
        <w:t>）</w:t>
      </w:r>
      <w:r>
        <w:rPr>
          <w:rFonts w:hint="eastAsia" w:ascii="宋体" w:hAnsi="宋体" w:eastAsia="宋体" w:cs="宋体"/>
          <w:color w:val="auto"/>
          <w:highlight w:val="none"/>
        </w:rPr>
        <w:t xml:space="preserve"> 顺时针旋转钻柄并适度下压，遇硬干层可加力。一般旋转2～3圈使钻头装满即可，避免过度填充导致难拔出、深度不准。</w:t>
      </w:r>
    </w:p>
    <w:p w14:paraId="666DBC70">
      <w:pPr>
        <w:pStyle w:val="85"/>
        <w:keepNext w:val="0"/>
        <w:keepLines w:val="0"/>
        <w:pageBreakBefore w:val="0"/>
        <w:widowControl/>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color w:val="auto"/>
          <w:highlight w:val="none"/>
        </w:rPr>
      </w:pP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4</w:t>
      </w:r>
      <w:r>
        <w:rPr>
          <w:rFonts w:hint="eastAsia" w:ascii="宋体" w:hAnsi="宋体" w:eastAsia="宋体" w:cs="宋体"/>
          <w:color w:val="auto"/>
          <w:highlight w:val="none"/>
          <w:lang w:eastAsia="zh-CN"/>
        </w:rPr>
        <w:t>）</w:t>
      </w:r>
      <w:r>
        <w:rPr>
          <w:rFonts w:hint="eastAsia" w:ascii="宋体" w:hAnsi="宋体" w:eastAsia="宋体" w:cs="宋体"/>
          <w:color w:val="auto"/>
          <w:highlight w:val="none"/>
        </w:rPr>
        <w:t xml:space="preserve"> 提钻时边顺时针缓慢旋转边上提，防止土样脱落；将土样推出放在塑料布上，尽量保持结构，并按层次顺序排列</w:t>
      </w:r>
      <w:r>
        <w:rPr>
          <w:rFonts w:hint="eastAsia" w:hAnsi="宋体" w:eastAsia="宋体" w:cs="宋体"/>
          <w:color w:val="auto"/>
          <w:highlight w:val="none"/>
          <w:lang w:eastAsia="zh-CN"/>
        </w:rPr>
        <w:t>；</w:t>
      </w:r>
      <w:r>
        <w:rPr>
          <w:rFonts w:hint="eastAsia" w:ascii="宋体" w:hAnsi="宋体" w:eastAsia="宋体" w:cs="宋体"/>
          <w:color w:val="auto"/>
          <w:highlight w:val="none"/>
        </w:rPr>
        <w:t>潮湿或黏性大时孔壁土易落入孔内，应及时清孔；清孔时不下压，清至孔底后提钻，清出土弃去。</w:t>
      </w:r>
    </w:p>
    <w:p w14:paraId="65CC31AE">
      <w:pPr>
        <w:pStyle w:val="85"/>
        <w:keepNext w:val="0"/>
        <w:keepLines w:val="0"/>
        <w:pageBreakBefore w:val="0"/>
        <w:widowControl/>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color w:val="auto"/>
          <w:sz w:val="18"/>
          <w:szCs w:val="18"/>
          <w:highlight w:val="none"/>
        </w:rPr>
      </w:pP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5</w:t>
      </w:r>
      <w:r>
        <w:rPr>
          <w:rFonts w:hint="eastAsia" w:ascii="宋体" w:hAnsi="宋体" w:eastAsia="宋体" w:cs="宋体"/>
          <w:color w:val="auto"/>
          <w:highlight w:val="none"/>
          <w:lang w:eastAsia="zh-CN"/>
        </w:rPr>
        <w:t>）</w:t>
      </w:r>
      <w:r>
        <w:rPr>
          <w:rFonts w:hint="eastAsia" w:ascii="宋体" w:hAnsi="宋体" w:eastAsia="宋体" w:cs="宋体"/>
          <w:color w:val="auto"/>
          <w:highlight w:val="none"/>
        </w:rPr>
        <w:t>正常每次进尺约10 cm，单孔一般取至150 cm。测定土盐渍度时按深度连续分层取样：0～10、10～20、20～40、40～60、60～90、90～120、120～150 cm。</w:t>
      </w:r>
    </w:p>
    <w:p w14:paraId="3A4C6B47">
      <w:pPr>
        <w:pStyle w:val="85"/>
        <w:keepNext w:val="0"/>
        <w:keepLines w:val="0"/>
        <w:pageBreakBefore w:val="0"/>
        <w:widowControl/>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color w:val="auto"/>
          <w:highlight w:val="none"/>
        </w:rPr>
      </w:pP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6</w:t>
      </w:r>
      <w:r>
        <w:rPr>
          <w:rFonts w:hint="eastAsia" w:ascii="宋体" w:hAnsi="宋体" w:eastAsia="宋体" w:cs="宋体"/>
          <w:color w:val="auto"/>
          <w:highlight w:val="none"/>
          <w:lang w:eastAsia="zh-CN"/>
        </w:rPr>
        <w:t>）</w:t>
      </w:r>
      <w:r>
        <w:rPr>
          <w:rFonts w:hint="eastAsia" w:ascii="宋体" w:hAnsi="宋体" w:eastAsia="宋体" w:cs="宋体"/>
          <w:color w:val="auto"/>
          <w:highlight w:val="none"/>
        </w:rPr>
        <w:t>每层土样</w:t>
      </w:r>
      <w:r>
        <w:rPr>
          <w:rFonts w:hint="eastAsia" w:hAnsi="宋体" w:eastAsia="宋体" w:cs="宋体"/>
          <w:color w:val="auto"/>
          <w:highlight w:val="none"/>
          <w:lang w:val="en-US" w:eastAsia="zh-CN"/>
        </w:rPr>
        <w:t>的</w:t>
      </w:r>
      <w:r>
        <w:rPr>
          <w:rFonts w:hint="eastAsia" w:ascii="宋体" w:hAnsi="宋体" w:eastAsia="宋体" w:cs="宋体"/>
          <w:color w:val="auto"/>
          <w:highlight w:val="none"/>
        </w:rPr>
        <w:t>顶层混合土一般弃去；底部取化验样，中部用于描述。化验样装袋贴签并做防水标记，注明日期、田块号、孔号、深度等。</w:t>
      </w:r>
    </w:p>
    <w:p w14:paraId="3A6EB186">
      <w:pPr>
        <w:pStyle w:val="85"/>
        <w:keepNext w:val="0"/>
        <w:keepLines w:val="0"/>
        <w:pageBreakBefore w:val="0"/>
        <w:widowControl/>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color w:val="auto"/>
          <w:highlight w:val="none"/>
        </w:rPr>
      </w:pP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7</w:t>
      </w:r>
      <w:r>
        <w:rPr>
          <w:rFonts w:hint="eastAsia" w:ascii="宋体" w:hAnsi="宋体" w:eastAsia="宋体" w:cs="宋体"/>
          <w:color w:val="auto"/>
          <w:highlight w:val="none"/>
          <w:lang w:eastAsia="zh-CN"/>
        </w:rPr>
        <w:t>）</w:t>
      </w:r>
      <w:r>
        <w:rPr>
          <w:rFonts w:hint="eastAsia" w:ascii="宋体" w:hAnsi="宋体" w:eastAsia="宋体" w:cs="宋体"/>
          <w:color w:val="auto"/>
          <w:highlight w:val="none"/>
        </w:rPr>
        <w:t>用于描述的土样按列、按层次顺序在平地排开，每列10个、列长约1 m；从离孔最远端开始摆放，避免钻头落土混入其他层面。相邻层性状相同可合并描述。</w:t>
      </w:r>
    </w:p>
    <w:p w14:paraId="29B6507A">
      <w:pPr>
        <w:pStyle w:val="85"/>
        <w:keepNext w:val="0"/>
        <w:keepLines w:val="0"/>
        <w:pageBreakBefore w:val="0"/>
        <w:widowControl/>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color w:val="auto"/>
          <w:highlight w:val="none"/>
        </w:rPr>
      </w:pP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8</w:t>
      </w:r>
      <w:r>
        <w:rPr>
          <w:rFonts w:hint="eastAsia" w:ascii="宋体" w:hAnsi="宋体" w:eastAsia="宋体" w:cs="宋体"/>
          <w:color w:val="auto"/>
          <w:highlight w:val="none"/>
          <w:lang w:eastAsia="zh-CN"/>
        </w:rPr>
        <w:t>）</w:t>
      </w:r>
      <w:r>
        <w:rPr>
          <w:rFonts w:hint="eastAsia" w:ascii="宋体" w:hAnsi="宋体" w:eastAsia="宋体" w:cs="宋体"/>
          <w:color w:val="auto"/>
          <w:highlight w:val="none"/>
        </w:rPr>
        <w:t>为降低变异影响，确定最佳部位后在周边3–5 m范围内：上层变异大时钻取3～5点混合样混匀，按四分法取约1 kg（风干后1 kg可满足分析）；1 m以下土层变异较小一般取1孔即可。</w:t>
      </w:r>
    </w:p>
    <w:p w14:paraId="2A341C8A">
      <w:pPr>
        <w:keepNext w:val="0"/>
        <w:keepLines w:val="0"/>
        <w:pageBreakBefore w:val="0"/>
        <w:kinsoku/>
        <w:wordWrap/>
        <w:overflowPunct/>
        <w:topLinePunct w:val="0"/>
        <w:autoSpaceDE w:val="0"/>
        <w:autoSpaceDN w:val="0"/>
        <w:bidi w:val="0"/>
        <w:adjustRightInd w:val="0"/>
        <w:snapToGrid/>
        <w:spacing w:line="240" w:lineRule="auto"/>
        <w:jc w:val="left"/>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val="en-US" w:eastAsia="zh-CN"/>
        </w:rPr>
        <w:t>A</w:t>
      </w:r>
      <w:r>
        <w:rPr>
          <w:rFonts w:hint="eastAsia" w:ascii="宋体" w:hAnsi="宋体" w:eastAsia="宋体" w:cs="宋体"/>
          <w:b/>
          <w:bCs/>
          <w:color w:val="auto"/>
          <w:szCs w:val="21"/>
          <w:highlight w:val="none"/>
        </w:rPr>
        <w:t>.2 土壤剖面挖掘法</w:t>
      </w:r>
    </w:p>
    <w:p w14:paraId="36A37C23">
      <w:pPr>
        <w:keepNext w:val="0"/>
        <w:keepLines w:val="0"/>
        <w:pageBreakBefore w:val="0"/>
        <w:kinsoku/>
        <w:wordWrap/>
        <w:overflowPunct/>
        <w:topLinePunct w:val="0"/>
        <w:autoSpaceDE w:val="0"/>
        <w:autoSpaceDN w:val="0"/>
        <w:bidi w:val="0"/>
        <w:adjustRightInd w:val="0"/>
        <w:snapToGrid/>
        <w:spacing w:line="240" w:lineRule="auto"/>
        <w:jc w:val="left"/>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eastAsia="zh-CN"/>
        </w:rPr>
        <w:t>A.2</w:t>
      </w:r>
      <w:r>
        <w:rPr>
          <w:rFonts w:hint="eastAsia" w:ascii="宋体" w:hAnsi="宋体" w:eastAsia="宋体" w:cs="宋体"/>
          <w:b/>
          <w:bCs/>
          <w:color w:val="auto"/>
          <w:szCs w:val="21"/>
          <w:highlight w:val="none"/>
        </w:rPr>
        <w:t>.l 方法要点</w:t>
      </w:r>
    </w:p>
    <w:p w14:paraId="4BE91B12">
      <w:pPr>
        <w:keepNext w:val="0"/>
        <w:keepLines w:val="0"/>
        <w:pageBreakBefore w:val="0"/>
        <w:kinsoku/>
        <w:wordWrap/>
        <w:overflowPunct/>
        <w:topLinePunct w:val="0"/>
        <w:autoSpaceDE w:val="0"/>
        <w:autoSpaceDN w:val="0"/>
        <w:bidi w:val="0"/>
        <w:adjustRightInd w:val="0"/>
        <w:snapToGrid/>
        <w:spacing w:line="240" w:lineRule="auto"/>
        <w:ind w:firstLine="420" w:firstLineChars="200"/>
        <w:jc w:val="left"/>
        <w:textAlignment w:val="auto"/>
        <w:rPr>
          <w:rFonts w:hint="eastAsia" w:ascii="宋体" w:hAnsi="宋体" w:eastAsia="宋体" w:cs="宋体"/>
          <w:color w:val="auto"/>
          <w:highlight w:val="none"/>
        </w:rPr>
      </w:pPr>
      <w:r>
        <w:rPr>
          <w:rFonts w:hint="eastAsia" w:ascii="宋体" w:hAnsi="宋体" w:eastAsia="宋体" w:cs="宋体"/>
          <w:color w:val="auto"/>
          <w:szCs w:val="21"/>
          <w:highlight w:val="none"/>
        </w:rPr>
        <w:t>在田间确定代表性调査点位后，人工向下挖掘，使土层全都暴露出来，便于对土壤剖面层次进行性态观测和采样。</w:t>
      </w:r>
    </w:p>
    <w:p w14:paraId="1E12DC02">
      <w:pPr>
        <w:keepNext w:val="0"/>
        <w:keepLines w:val="0"/>
        <w:pageBreakBefore w:val="0"/>
        <w:kinsoku/>
        <w:wordWrap/>
        <w:overflowPunct/>
        <w:topLinePunct w:val="0"/>
        <w:autoSpaceDE w:val="0"/>
        <w:autoSpaceDN w:val="0"/>
        <w:bidi w:val="0"/>
        <w:adjustRightInd w:val="0"/>
        <w:snapToGrid/>
        <w:spacing w:line="240" w:lineRule="auto"/>
        <w:jc w:val="left"/>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eastAsia="zh-CN"/>
        </w:rPr>
        <w:t>A.2</w:t>
      </w:r>
      <w:r>
        <w:rPr>
          <w:rFonts w:hint="eastAsia" w:ascii="宋体" w:hAnsi="宋体" w:eastAsia="宋体" w:cs="宋体"/>
          <w:b/>
          <w:bCs/>
          <w:color w:val="auto"/>
          <w:szCs w:val="21"/>
          <w:highlight w:val="none"/>
        </w:rPr>
        <w:t>.2 操作步骤</w:t>
      </w:r>
    </w:p>
    <w:p w14:paraId="4EB3FB5E">
      <w:pPr>
        <w:keepNext w:val="0"/>
        <w:keepLines w:val="0"/>
        <w:pageBreakBefore w:val="0"/>
        <w:kinsoku/>
        <w:wordWrap/>
        <w:overflowPunct/>
        <w:topLinePunct w:val="0"/>
        <w:autoSpaceDE w:val="0"/>
        <w:autoSpaceDN w:val="0"/>
        <w:bidi w:val="0"/>
        <w:adjustRightInd w:val="0"/>
        <w:snapToGrid/>
        <w:spacing w:line="240" w:lineRule="auto"/>
        <w:jc w:val="left"/>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eastAsia="zh-CN"/>
        </w:rPr>
        <w:t>A.2</w:t>
      </w:r>
      <w:r>
        <w:rPr>
          <w:rFonts w:hint="eastAsia" w:ascii="宋体" w:hAnsi="宋体" w:eastAsia="宋体" w:cs="宋体"/>
          <w:b/>
          <w:bCs/>
          <w:color w:val="auto"/>
          <w:szCs w:val="21"/>
          <w:highlight w:val="none"/>
        </w:rPr>
        <w:t>.2.l 调査资料和工具</w:t>
      </w:r>
    </w:p>
    <w:p w14:paraId="2AA0AC00">
      <w:pPr>
        <w:keepNext w:val="0"/>
        <w:keepLines w:val="0"/>
        <w:pageBreakBefore w:val="0"/>
        <w:kinsoku/>
        <w:wordWrap/>
        <w:overflowPunct/>
        <w:topLinePunct w:val="0"/>
        <w:autoSpaceDE w:val="0"/>
        <w:autoSpaceDN w:val="0"/>
        <w:bidi w:val="0"/>
        <w:adjustRightInd w:val="0"/>
        <w:snapToGrid/>
        <w:spacing w:line="240" w:lineRule="auto"/>
        <w:ind w:firstLine="420" w:firstLineChars="200"/>
        <w:jc w:val="left"/>
        <w:textAlignment w:val="auto"/>
        <w:rPr>
          <w:rFonts w:hint="eastAsia" w:ascii="宋体" w:hAnsi="宋体" w:eastAsia="宋体" w:cs="宋体"/>
          <w:color w:val="auto"/>
          <w:highlight w:val="none"/>
        </w:rPr>
      </w:pPr>
      <w:r>
        <w:rPr>
          <w:rFonts w:hint="eastAsia" w:ascii="宋体" w:hAnsi="宋体" w:eastAsia="宋体" w:cs="宋体"/>
          <w:color w:val="auto"/>
          <w:szCs w:val="21"/>
          <w:highlight w:val="none"/>
        </w:rPr>
        <w:t>调查区域地形图、GPS、卷尺、采样袋、铅笔、记录本、调査表、铁锹、剖面刀、土钻、土样标本盒、标签、环刀等。</w:t>
      </w:r>
    </w:p>
    <w:p w14:paraId="07C22F1F">
      <w:pPr>
        <w:keepNext w:val="0"/>
        <w:keepLines w:val="0"/>
        <w:pageBreakBefore w:val="0"/>
        <w:kinsoku/>
        <w:wordWrap/>
        <w:overflowPunct/>
        <w:topLinePunct w:val="0"/>
        <w:autoSpaceDE w:val="0"/>
        <w:autoSpaceDN w:val="0"/>
        <w:bidi w:val="0"/>
        <w:adjustRightInd w:val="0"/>
        <w:snapToGrid/>
        <w:spacing w:line="240" w:lineRule="auto"/>
        <w:jc w:val="left"/>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eastAsia="zh-CN"/>
        </w:rPr>
        <w:t>A.2</w:t>
      </w:r>
      <w:r>
        <w:rPr>
          <w:rFonts w:hint="eastAsia" w:ascii="宋体" w:hAnsi="宋体" w:eastAsia="宋体" w:cs="宋体"/>
          <w:b/>
          <w:bCs/>
          <w:color w:val="auto"/>
          <w:szCs w:val="21"/>
          <w:highlight w:val="none"/>
        </w:rPr>
        <w:t>.2.2 具体步骤</w:t>
      </w:r>
    </w:p>
    <w:p w14:paraId="6BF4F65D">
      <w:pPr>
        <w:pStyle w:val="85"/>
        <w:keepNext w:val="0"/>
        <w:keepLines w:val="0"/>
        <w:pageBreakBefore w:val="0"/>
        <w:numPr>
          <w:ilvl w:val="0"/>
          <w:numId w:val="0"/>
        </w:numPr>
        <w:tabs>
          <w:tab w:val="clear" w:pos="845"/>
        </w:tabs>
        <w:kinsoku/>
        <w:wordWrap/>
        <w:overflowPunct/>
        <w:topLinePunct w:val="0"/>
        <w:bidi w:val="0"/>
        <w:snapToGrid/>
        <w:spacing w:line="240" w:lineRule="auto"/>
        <w:ind w:firstLine="420" w:firstLineChars="200"/>
        <w:textAlignment w:val="auto"/>
        <w:rPr>
          <w:rFonts w:hint="eastAsia" w:ascii="宋体" w:hAnsi="宋体" w:eastAsia="宋体" w:cs="宋体"/>
          <w:color w:val="auto"/>
          <w:highlight w:val="none"/>
          <w:shd w:val="clear" w:color="auto" w:fill="auto"/>
        </w:rPr>
      </w:pPr>
      <w:r>
        <w:rPr>
          <w:rFonts w:hint="eastAsia" w:ascii="宋体" w:hAnsi="宋体" w:eastAsia="宋体" w:cs="宋体"/>
          <w:color w:val="auto"/>
          <w:highlight w:val="none"/>
          <w:shd w:val="clear" w:color="auto" w:fill="auto"/>
          <w:lang w:eastAsia="zh-CN"/>
        </w:rPr>
        <w:t>（</w:t>
      </w:r>
      <w:r>
        <w:rPr>
          <w:rFonts w:hint="eastAsia" w:ascii="宋体" w:hAnsi="宋体" w:eastAsia="宋体" w:cs="宋体"/>
          <w:color w:val="auto"/>
          <w:highlight w:val="none"/>
          <w:shd w:val="clear" w:color="auto" w:fill="auto"/>
          <w:lang w:val="en-US" w:eastAsia="zh-CN"/>
        </w:rPr>
        <w:t>1</w:t>
      </w:r>
      <w:r>
        <w:rPr>
          <w:rFonts w:hint="eastAsia" w:ascii="宋体" w:hAnsi="宋体" w:eastAsia="宋体" w:cs="宋体"/>
          <w:color w:val="auto"/>
          <w:highlight w:val="none"/>
          <w:shd w:val="clear" w:color="auto" w:fill="auto"/>
          <w:lang w:eastAsia="zh-CN"/>
        </w:rPr>
        <w:t>）剖面点</w:t>
      </w:r>
      <w:r>
        <w:rPr>
          <w:rFonts w:hint="eastAsia" w:ascii="宋体" w:hAnsi="宋体" w:eastAsia="宋体" w:cs="宋体"/>
          <w:color w:val="auto"/>
          <w:highlight w:val="none"/>
          <w:shd w:val="clear" w:color="auto" w:fill="auto"/>
        </w:rPr>
        <w:t>选择具有代表性的调查点，避开道路、田埂（田边）、粪堆等干扰源。</w:t>
      </w:r>
    </w:p>
    <w:p w14:paraId="012C6D4D">
      <w:pPr>
        <w:pStyle w:val="85"/>
        <w:keepNext w:val="0"/>
        <w:keepLines w:val="0"/>
        <w:pageBreakBefore w:val="0"/>
        <w:numPr>
          <w:ilvl w:val="0"/>
          <w:numId w:val="0"/>
        </w:numPr>
        <w:tabs>
          <w:tab w:val="clear" w:pos="845"/>
        </w:tabs>
        <w:kinsoku/>
        <w:wordWrap/>
        <w:overflowPunct/>
        <w:topLinePunct w:val="0"/>
        <w:bidi w:val="0"/>
        <w:snapToGrid/>
        <w:spacing w:line="240" w:lineRule="auto"/>
        <w:ind w:firstLine="420" w:firstLineChars="200"/>
        <w:textAlignment w:val="auto"/>
        <w:rPr>
          <w:rFonts w:hint="eastAsia" w:hAnsi="宋体" w:eastAsia="宋体" w:cs="宋体"/>
          <w:color w:val="auto"/>
          <w:highlight w:val="none"/>
          <w:lang w:eastAsia="zh-CN"/>
        </w:rPr>
      </w:pP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lang w:eastAsia="zh-CN"/>
        </w:rPr>
        <w:t>）挖掘</w:t>
      </w:r>
      <w:r>
        <w:rPr>
          <w:rFonts w:hint="eastAsia" w:hAnsi="宋体" w:eastAsia="宋体" w:cs="宋体"/>
          <w:color w:val="auto"/>
          <w:highlight w:val="none"/>
          <w:lang w:eastAsia="zh-CN"/>
        </w:rPr>
        <w:t>剖面坑尺寸为长2.0 m</w:t>
      </w:r>
      <w:r>
        <w:rPr>
          <w:rFonts w:hint="default" w:ascii="Times New Roman" w:hAnsi="Times New Roman" w:eastAsia="宋体" w:cs="Times New Roman"/>
          <w:color w:val="auto"/>
          <w:highlight w:val="none"/>
          <w:lang w:eastAsia="zh-CN"/>
        </w:rPr>
        <w:t xml:space="preserve"> × </w:t>
      </w:r>
      <w:r>
        <w:rPr>
          <w:rFonts w:hint="eastAsia" w:hAnsi="宋体" w:eastAsia="宋体" w:cs="宋体"/>
          <w:color w:val="auto"/>
          <w:highlight w:val="none"/>
          <w:lang w:eastAsia="zh-CN"/>
        </w:rPr>
        <w:t xml:space="preserve">宽1.5 m </w:t>
      </w:r>
      <w:r>
        <w:rPr>
          <w:rFonts w:hint="default" w:ascii="Times New Roman" w:hAnsi="Times New Roman" w:eastAsia="宋体" w:cs="Times New Roman"/>
          <w:color w:val="auto"/>
          <w:highlight w:val="none"/>
          <w:lang w:eastAsia="zh-CN"/>
        </w:rPr>
        <w:t>×</w:t>
      </w:r>
      <w:r>
        <w:rPr>
          <w:rFonts w:hint="eastAsia" w:hAnsi="宋体" w:eastAsia="宋体" w:cs="宋体"/>
          <w:color w:val="auto"/>
          <w:highlight w:val="none"/>
          <w:lang w:eastAsia="zh-CN"/>
        </w:rPr>
        <w:t xml:space="preserve"> 深1.5 m；每向下约30 cm留一个台阶。观察面禁止站人和堆土；挖出土壤按层次顺序分别堆放在剖面坑两侧（见图A.1）。若深度未到1.5 m即挖到地下水，以出水深度为止；若地下水埋深超过1.5 m：挖至1.5 m后，在坑底用土钻继续钻至2.5 m，并观察土层变化。剖面方向不必固定南北/东西，以预计完成时观察面向阳为宜。</w:t>
      </w:r>
    </w:p>
    <w:p w14:paraId="57C63A4C">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object>
          <v:shape id="_x0000_i1037" o:spt="75" type="#_x0000_t75" style="height:148.15pt;width:218.25pt;" o:ole="t" filled="f" o:preferrelative="t" stroked="f" coordsize="21600,21600">
            <v:path/>
            <v:fill on="f" focussize="0,0"/>
            <v:stroke on="f"/>
            <v:imagedata r:id="rId37" o:title=""/>
            <o:lock v:ext="edit" aspectratio="f"/>
            <w10:wrap type="none"/>
            <w10:anchorlock/>
          </v:shape>
          <o:OLEObject Type="Embed" ProgID="Visio.Drawing.11" ShapeID="_x0000_i1037" DrawAspect="Content" ObjectID="_1468075737" r:id="rId36">
            <o:LockedField>false</o:LockedField>
          </o:OLEObject>
        </w:object>
      </w:r>
    </w:p>
    <w:p w14:paraId="6DC9ECA4">
      <w:pPr>
        <w:autoSpaceDE w:val="0"/>
        <w:autoSpaceDN w:val="0"/>
        <w:adjustRightInd w:val="0"/>
        <w:snapToGrid w:val="0"/>
        <w:jc w:val="center"/>
        <w:rPr>
          <w:rFonts w:hint="default" w:ascii="黑体" w:hAnsi="黑体" w:eastAsia="黑体" w:cs="黑体"/>
          <w:color w:val="auto"/>
          <w:sz w:val="18"/>
          <w:szCs w:val="18"/>
          <w:highlight w:val="none"/>
          <w:shd w:val="clear" w:color="FFFFFF" w:fill="D9D9D9"/>
          <w:lang w:val="en-US" w:eastAsia="zh-CN"/>
        </w:rPr>
      </w:pPr>
      <w:r>
        <w:rPr>
          <w:rFonts w:hint="eastAsia" w:ascii="黑体" w:hAnsi="黑体" w:eastAsia="黑体" w:cs="黑体"/>
          <w:color w:val="auto"/>
          <w:sz w:val="18"/>
          <w:szCs w:val="18"/>
          <w:highlight w:val="none"/>
          <w:lang w:val="en-US" w:eastAsia="zh-CN"/>
        </w:rPr>
        <w:t>图 A.1 挖掘剖面坑尺寸</w:t>
      </w:r>
    </w:p>
    <w:p w14:paraId="59AA719E">
      <w:pPr>
        <w:pStyle w:val="85"/>
        <w:keepNext w:val="0"/>
        <w:keepLines w:val="0"/>
        <w:pageBreakBefore w:val="0"/>
        <w:numPr>
          <w:ilvl w:val="0"/>
          <w:numId w:val="0"/>
        </w:numPr>
        <w:tabs>
          <w:tab w:val="clear" w:pos="845"/>
        </w:tabs>
        <w:kinsoku/>
        <w:wordWrap/>
        <w:overflowPunct/>
        <w:topLinePunct w:val="0"/>
        <w:bidi w:val="0"/>
        <w:snapToGrid/>
        <w:spacing w:line="240" w:lineRule="auto"/>
        <w:ind w:left="315" w:leftChars="150" w:firstLine="105" w:firstLineChars="50"/>
        <w:textAlignment w:val="auto"/>
        <w:rPr>
          <w:rFonts w:hint="eastAsia" w:ascii="宋体" w:hAnsi="宋体" w:eastAsia="宋体" w:cs="宋体"/>
          <w:color w:val="auto"/>
          <w:highlight w:val="none"/>
        </w:rPr>
      </w:pPr>
      <w:r>
        <w:rPr>
          <w:rFonts w:hint="eastAsia" w:hAnsi="宋体" w:eastAsia="宋体" w:cs="宋体"/>
          <w:color w:val="auto"/>
          <w:highlight w:val="none"/>
          <w:lang w:eastAsia="zh-CN"/>
        </w:rPr>
        <w:t>（</w:t>
      </w:r>
      <w:r>
        <w:rPr>
          <w:rFonts w:hint="eastAsia" w:hAnsi="宋体" w:eastAsia="宋体" w:cs="宋体"/>
          <w:color w:val="auto"/>
          <w:highlight w:val="none"/>
          <w:lang w:val="en-US" w:eastAsia="zh-CN"/>
        </w:rPr>
        <w:t>3</w:t>
      </w:r>
      <w:r>
        <w:rPr>
          <w:rFonts w:hint="eastAsia" w:hAnsi="宋体" w:eastAsia="宋体" w:cs="宋体"/>
          <w:color w:val="auto"/>
          <w:highlight w:val="none"/>
          <w:lang w:eastAsia="zh-CN"/>
        </w:rPr>
        <w:t>）</w:t>
      </w:r>
      <w:r>
        <w:rPr>
          <w:rFonts w:hint="eastAsia" w:ascii="宋体" w:hAnsi="宋体" w:eastAsia="宋体" w:cs="宋体"/>
          <w:color w:val="auto"/>
          <w:highlight w:val="none"/>
        </w:rPr>
        <w:t>剖面挖好后先修整观察面、放置标尺；划分自然层次，记录剖面性态与土体构型。</w:t>
      </w:r>
    </w:p>
    <w:p w14:paraId="5CCEC04B">
      <w:pPr>
        <w:keepNext w:val="0"/>
        <w:keepLines w:val="0"/>
        <w:pageBreakBefore w:val="0"/>
        <w:widowControl w:val="0"/>
        <w:kinsoku/>
        <w:wordWrap/>
        <w:overflowPunct/>
        <w:topLinePunct w:val="0"/>
        <w:autoSpaceDE w:val="0"/>
        <w:autoSpaceDN w:val="0"/>
        <w:bidi w:val="0"/>
        <w:adjustRightInd w:val="0"/>
        <w:snapToGrid/>
        <w:spacing w:line="240" w:lineRule="auto"/>
        <w:ind w:firstLine="420"/>
        <w:jc w:val="left"/>
        <w:textAlignment w:val="auto"/>
        <w:rPr>
          <w:rFonts w:hint="eastAsia" w:ascii="宋体" w:hAnsi="宋体" w:eastAsia="宋体" w:cs="宋体"/>
          <w:color w:val="auto"/>
          <w:highlight w:val="none"/>
        </w:rPr>
      </w:pP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4</w:t>
      </w:r>
      <w:r>
        <w:rPr>
          <w:rFonts w:hint="eastAsia" w:ascii="宋体" w:hAnsi="宋体" w:eastAsia="宋体" w:cs="宋体"/>
          <w:color w:val="auto"/>
          <w:highlight w:val="none"/>
          <w:lang w:eastAsia="zh-CN"/>
        </w:rPr>
        <w:t>）</w:t>
      </w:r>
      <w:r>
        <w:rPr>
          <w:rFonts w:hint="eastAsia" w:ascii="宋体" w:hAnsi="宋体" w:eastAsia="宋体" w:cs="宋体"/>
          <w:color w:val="auto"/>
          <w:kern w:val="0"/>
          <w:sz w:val="21"/>
          <w:szCs w:val="20"/>
          <w:highlight w:val="none"/>
          <w:lang w:val="en-US" w:eastAsia="zh-CN" w:bidi="ar-SA"/>
        </w:rPr>
        <w:t>按自然分层，在各层中部采集原状土块，修整至与标本盒空格大小相近。土块向上一面保留自然结构面，不得刀修，仅可沿自然结构面用手掰开后放入盒格。胶膜、斑纹、假菌丝体、结核、砂姜等新生体应在标本中如实体现；土体松散时在不破坏自然结构前提下装满盒格。</w:t>
      </w:r>
      <w:r>
        <w:rPr>
          <w:rFonts w:hint="eastAsia" w:ascii="宋体" w:hAnsi="宋体" w:eastAsia="宋体" w:cs="宋体"/>
          <w:color w:val="auto"/>
          <w:kern w:val="0"/>
          <w:sz w:val="21"/>
          <w:szCs w:val="20"/>
          <w:highlight w:val="none"/>
          <w:lang w:val="en-US" w:eastAsia="zh-CN" w:bidi="ar-SA"/>
        </w:rPr>
        <w:br w:type="textWrapping"/>
      </w:r>
      <w:r>
        <w:rPr>
          <w:rFonts w:hint="eastAsia" w:ascii="宋体" w:hAnsi="宋体" w:cs="宋体"/>
          <w:color w:val="auto"/>
          <w:kern w:val="0"/>
          <w:sz w:val="21"/>
          <w:szCs w:val="20"/>
          <w:highlight w:val="none"/>
          <w:lang w:val="en-US" w:eastAsia="zh-CN" w:bidi="ar-SA"/>
        </w:rPr>
        <w:t xml:space="preserve">    </w:t>
      </w:r>
      <w:r>
        <w:rPr>
          <w:rFonts w:hint="eastAsia" w:ascii="宋体" w:hAnsi="宋体" w:eastAsia="宋体" w:cs="宋体"/>
          <w:color w:val="auto"/>
          <w:kern w:val="0"/>
          <w:sz w:val="21"/>
          <w:szCs w:val="20"/>
          <w:highlight w:val="none"/>
          <w:lang w:val="en-US" w:eastAsia="zh-CN" w:bidi="ar-SA"/>
        </w:rPr>
        <w:t>标本盒侧面标注层次深度，并记录剖面编号、土壤名称、地点、地形、采样人、日期等；盒底上方写剖面号与土名，盒底右侧注明深度（见图A.2）。</w:t>
      </w:r>
    </w:p>
    <w:p w14:paraId="514E6675">
      <w:pPr>
        <w:keepNext w:val="0"/>
        <w:keepLines w:val="0"/>
        <w:pageBreakBefore w:val="0"/>
        <w:widowControl w:val="0"/>
        <w:kinsoku/>
        <w:wordWrap/>
        <w:overflowPunct/>
        <w:topLinePunct w:val="0"/>
        <w:autoSpaceDE w:val="0"/>
        <w:autoSpaceDN w:val="0"/>
        <w:bidi w:val="0"/>
        <w:adjustRightInd w:val="0"/>
        <w:snapToGrid w:val="0"/>
        <w:spacing w:line="240" w:lineRule="auto"/>
        <w:jc w:val="center"/>
        <w:textAlignment w:val="auto"/>
        <w:rPr>
          <w:rFonts w:hint="eastAsia" w:ascii="宋体" w:hAnsi="宋体" w:eastAsia="宋体" w:cs="宋体"/>
          <w:color w:val="auto"/>
          <w:sz w:val="18"/>
          <w:szCs w:val="18"/>
          <w:highlight w:val="none"/>
        </w:rPr>
      </w:pPr>
      <w:r>
        <w:rPr>
          <w:rFonts w:hint="eastAsia" w:ascii="宋体" w:hAnsi="宋体" w:eastAsia="宋体" w:cs="宋体"/>
          <w:color w:val="auto"/>
          <w:sz w:val="18"/>
          <w:szCs w:val="18"/>
          <w:highlight w:val="none"/>
        </w:rPr>
        <w:object>
          <v:shape id="_x0000_i1038" o:spt="75" type="#_x0000_t75" style="height:106.4pt;width:174.25pt;" o:ole="t" filled="f" o:preferrelative="t" stroked="f" coordsize="21600,21600">
            <v:path/>
            <v:fill on="f" focussize="0,0"/>
            <v:stroke on="f"/>
            <v:imagedata r:id="rId39" o:title=""/>
            <o:lock v:ext="edit" aspectratio="f"/>
            <w10:wrap type="none"/>
            <w10:anchorlock/>
          </v:shape>
          <o:OLEObject Type="Embed" ProgID="Visio.Drawing.11" ShapeID="_x0000_i1038" DrawAspect="Content" ObjectID="_1468075738" r:id="rId38">
            <o:LockedField>false</o:LockedField>
          </o:OLEObject>
        </w:object>
      </w:r>
    </w:p>
    <w:p w14:paraId="2C793A86">
      <w:pPr>
        <w:autoSpaceDE w:val="0"/>
        <w:autoSpaceDN w:val="0"/>
        <w:adjustRightInd w:val="0"/>
        <w:snapToGrid w:val="0"/>
        <w:jc w:val="center"/>
        <w:rPr>
          <w:rFonts w:hint="default" w:ascii="黑体" w:hAnsi="黑体" w:eastAsia="黑体" w:cs="黑体"/>
          <w:color w:val="auto"/>
          <w:sz w:val="18"/>
          <w:szCs w:val="18"/>
          <w:highlight w:val="none"/>
          <w:lang w:val="en-US"/>
        </w:rPr>
      </w:pPr>
      <w:r>
        <w:rPr>
          <w:rFonts w:hint="eastAsia" w:ascii="黑体" w:hAnsi="黑体" w:eastAsia="黑体" w:cs="黑体"/>
          <w:color w:val="auto"/>
          <w:sz w:val="18"/>
          <w:szCs w:val="18"/>
          <w:highlight w:val="none"/>
          <w:lang w:val="en-US" w:eastAsia="zh-CN"/>
        </w:rPr>
        <w:t>图 A.2 标本盒标记</w:t>
      </w:r>
    </w:p>
    <w:p w14:paraId="7FEA72DC">
      <w:pPr>
        <w:pStyle w:val="85"/>
        <w:keepNext w:val="0"/>
        <w:keepLines w:val="0"/>
        <w:pageBreakBefore w:val="0"/>
        <w:widowControl/>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color w:val="auto"/>
          <w:highlight w:val="none"/>
        </w:rPr>
      </w:pPr>
      <w:r>
        <w:rPr>
          <w:rFonts w:hint="eastAsia" w:hAnsi="宋体" w:eastAsia="宋体" w:cs="宋体"/>
          <w:color w:val="auto"/>
          <w:highlight w:val="none"/>
          <w:lang w:eastAsia="zh-CN"/>
        </w:rPr>
        <w:t>（</w:t>
      </w:r>
      <w:r>
        <w:rPr>
          <w:rFonts w:hint="eastAsia" w:hAnsi="宋体" w:eastAsia="宋体" w:cs="宋体"/>
          <w:color w:val="auto"/>
          <w:highlight w:val="none"/>
          <w:lang w:val="en-US" w:eastAsia="zh-CN"/>
        </w:rPr>
        <w:t>5</w:t>
      </w:r>
      <w:r>
        <w:rPr>
          <w:rFonts w:hint="eastAsia" w:hAnsi="宋体" w:eastAsia="宋体" w:cs="宋体"/>
          <w:color w:val="auto"/>
          <w:highlight w:val="none"/>
          <w:lang w:eastAsia="zh-CN"/>
        </w:rPr>
        <w:t>）</w:t>
      </w:r>
      <w:r>
        <w:rPr>
          <w:rFonts w:hint="eastAsia" w:ascii="宋体" w:hAnsi="宋体" w:eastAsia="宋体" w:cs="宋体"/>
          <w:color w:val="auto"/>
          <w:highlight w:val="none"/>
        </w:rPr>
        <w:t>在剖面内自下而上分层采样，各层取中部样，约1.5～2.0 kg（或按实际需要）。样品装袋后立即用铅笔写两份标签：一份折叠放入袋内，一份系在袋口；注明剖面编号、土名、采样地点、深度、日期、取样人、取样时间等。同一剖面各层样袋应捆扎成组，防止混乱或丢失。</w:t>
      </w:r>
    </w:p>
    <w:p w14:paraId="082C57D4">
      <w:pPr>
        <w:pStyle w:val="137"/>
        <w:numPr>
          <w:ilvl w:val="0"/>
          <w:numId w:val="0"/>
        </w:numPr>
        <w:tabs>
          <w:tab w:val="clear" w:pos="0"/>
        </w:tabs>
        <w:ind w:left="811" w:hanging="448"/>
        <w:jc w:val="both"/>
        <w:rPr>
          <w:rFonts w:hint="eastAsia"/>
          <w:color w:val="auto"/>
          <w:highlight w:val="none"/>
        </w:rPr>
      </w:pPr>
    </w:p>
    <w:p w14:paraId="43960DDA">
      <w:pPr>
        <w:pStyle w:val="25"/>
        <w:rPr>
          <w:rFonts w:hint="eastAsia"/>
          <w:color w:val="auto"/>
          <w:highlight w:val="none"/>
        </w:rPr>
      </w:pPr>
    </w:p>
    <w:p w14:paraId="6C8090FC">
      <w:pPr>
        <w:pStyle w:val="103"/>
        <w:rPr>
          <w:rFonts w:hint="eastAsia"/>
          <w:color w:val="auto"/>
          <w:highlight w:val="none"/>
        </w:rPr>
      </w:pPr>
    </w:p>
    <w:p w14:paraId="24B72A4D">
      <w:pPr>
        <w:pStyle w:val="137"/>
        <w:rPr>
          <w:rFonts w:hint="eastAsia"/>
          <w:color w:val="auto"/>
          <w:highlight w:val="none"/>
        </w:rPr>
      </w:pPr>
    </w:p>
    <w:p w14:paraId="5640C276">
      <w:pPr>
        <w:pStyle w:val="75"/>
        <w:rPr>
          <w:rFonts w:hint="eastAsia"/>
          <w:color w:val="auto"/>
          <w:highlight w:val="none"/>
        </w:rPr>
      </w:pPr>
      <w:r>
        <w:rPr>
          <w:color w:val="auto"/>
          <w:highlight w:val="none"/>
        </w:rPr>
        <w:br w:type="textWrapping"/>
      </w:r>
      <w:r>
        <w:rPr>
          <w:rFonts w:hint="eastAsia"/>
          <w:color w:val="auto"/>
          <w:highlight w:val="none"/>
        </w:rPr>
        <w:t>（资料性附录）</w:t>
      </w:r>
      <w:r>
        <w:rPr>
          <w:color w:val="auto"/>
          <w:highlight w:val="none"/>
        </w:rPr>
        <w:br w:type="textWrapping"/>
      </w:r>
      <w:r>
        <w:rPr>
          <w:rFonts w:hint="eastAsia"/>
          <w:color w:val="auto"/>
          <w:highlight w:val="none"/>
        </w:rPr>
        <w:t>土壤盐化、碱化分级</w:t>
      </w:r>
    </w:p>
    <w:p w14:paraId="56259DD8">
      <w:pPr>
        <w:keepNext w:val="0"/>
        <w:keepLines w:val="0"/>
        <w:pageBreakBefore w:val="0"/>
        <w:widowControl/>
        <w:kinsoku/>
        <w:wordWrap/>
        <w:overflowPunct/>
        <w:topLinePunct w:val="0"/>
        <w:autoSpaceDE w:val="0"/>
        <w:autoSpaceDN w:val="0"/>
        <w:bidi w:val="0"/>
        <w:adjustRightInd w:val="0"/>
        <w:snapToGrid/>
        <w:spacing w:line="240" w:lineRule="auto"/>
        <w:jc w:val="left"/>
        <w:textAlignment w:val="auto"/>
        <w:rPr>
          <w:rFonts w:hint="eastAsia" w:eastAsia="宋体"/>
          <w:color w:val="auto"/>
          <w:szCs w:val="21"/>
          <w:highlight w:val="none"/>
          <w:lang w:eastAsia="zh-CN"/>
        </w:rPr>
      </w:pPr>
      <w:r>
        <w:rPr>
          <w:rFonts w:hint="eastAsia" w:ascii="宋体" w:hAnsi="宋体" w:eastAsia="宋体" w:cs="宋体"/>
          <w:b/>
          <w:bCs/>
          <w:color w:val="auto"/>
          <w:szCs w:val="21"/>
          <w:highlight w:val="none"/>
          <w:lang w:val="en-US" w:eastAsia="zh-CN"/>
        </w:rPr>
        <w:t xml:space="preserve">B.1 </w:t>
      </w:r>
      <w:r>
        <w:rPr>
          <w:color w:val="auto"/>
          <w:szCs w:val="21"/>
          <w:highlight w:val="none"/>
        </w:rPr>
        <w:t>土壤盐化、土壤碱化分级见表</w:t>
      </w:r>
      <w:r>
        <w:rPr>
          <w:rFonts w:hint="eastAsia" w:ascii="宋体" w:hAnsi="宋体" w:eastAsia="宋体" w:cs="宋体"/>
          <w:color w:val="auto"/>
          <w:szCs w:val="21"/>
          <w:highlight w:val="none"/>
          <w:lang w:val="en-US" w:eastAsia="zh-CN"/>
        </w:rPr>
        <w:t>B</w:t>
      </w:r>
      <w:r>
        <w:rPr>
          <w:rFonts w:hint="eastAsia" w:ascii="宋体" w:hAnsi="宋体" w:eastAsia="宋体" w:cs="宋体"/>
          <w:color w:val="auto"/>
          <w:szCs w:val="21"/>
          <w:highlight w:val="none"/>
        </w:rPr>
        <w:t>.</w:t>
      </w:r>
      <w:r>
        <w:rPr>
          <w:rFonts w:hint="eastAsia" w:ascii="宋体" w:hAnsi="宋体" w:cs="宋体"/>
          <w:color w:val="auto"/>
          <w:szCs w:val="21"/>
          <w:highlight w:val="none"/>
          <w:lang w:val="en-US" w:eastAsia="zh-CN"/>
        </w:rPr>
        <w:t>1</w:t>
      </w:r>
      <w:r>
        <w:rPr>
          <w:rFonts w:hint="eastAsia" w:ascii="宋体" w:hAnsi="宋体" w:eastAsia="宋体" w:cs="宋体"/>
          <w:color w:val="auto"/>
          <w:sz w:val="18"/>
          <w:szCs w:val="18"/>
          <w:highlight w:val="none"/>
        </w:rPr>
        <w:t>-</w:t>
      </w:r>
      <w:r>
        <w:rPr>
          <w:rFonts w:hint="eastAsia" w:ascii="宋体" w:hAnsi="宋体" w:eastAsia="宋体" w:cs="宋体"/>
          <w:color w:val="auto"/>
          <w:szCs w:val="21"/>
          <w:highlight w:val="none"/>
        </w:rPr>
        <w:t>1～表</w:t>
      </w:r>
      <w:r>
        <w:rPr>
          <w:rFonts w:hint="eastAsia" w:ascii="宋体" w:hAnsi="宋体" w:eastAsia="宋体" w:cs="宋体"/>
          <w:color w:val="auto"/>
          <w:szCs w:val="21"/>
          <w:highlight w:val="none"/>
          <w:lang w:val="en-US" w:eastAsia="zh-CN"/>
        </w:rPr>
        <w:t>B</w:t>
      </w:r>
      <w:r>
        <w:rPr>
          <w:rFonts w:hint="eastAsia" w:ascii="宋体" w:hAnsi="宋体" w:eastAsia="宋体" w:cs="宋体"/>
          <w:color w:val="auto"/>
          <w:szCs w:val="21"/>
          <w:highlight w:val="none"/>
        </w:rPr>
        <w:t>.</w:t>
      </w:r>
      <w:r>
        <w:rPr>
          <w:rFonts w:hint="eastAsia" w:ascii="宋体" w:hAnsi="宋体" w:cs="宋体"/>
          <w:color w:val="auto"/>
          <w:szCs w:val="21"/>
          <w:highlight w:val="none"/>
          <w:lang w:val="en-US" w:eastAsia="zh-CN"/>
        </w:rPr>
        <w:t>1</w:t>
      </w:r>
      <w:r>
        <w:rPr>
          <w:rFonts w:hint="eastAsia" w:ascii="宋体" w:hAnsi="宋体" w:eastAsia="宋体" w:cs="宋体"/>
          <w:color w:val="auto"/>
          <w:szCs w:val="21"/>
          <w:highlight w:val="none"/>
        </w:rPr>
        <w:t>-</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lang w:eastAsia="zh-CN"/>
        </w:rPr>
        <w:t>。</w:t>
      </w:r>
    </w:p>
    <w:p w14:paraId="1544FDD1">
      <w:pPr>
        <w:pStyle w:val="139"/>
        <w:keepNext w:val="0"/>
        <w:keepLines w:val="0"/>
        <w:pageBreakBefore w:val="0"/>
        <w:widowControl w:val="0"/>
        <w:numPr>
          <w:ilvl w:val="0"/>
          <w:numId w:val="0"/>
        </w:numPr>
        <w:kinsoku/>
        <w:wordWrap/>
        <w:overflowPunct/>
        <w:topLinePunct w:val="0"/>
        <w:autoSpaceDE/>
        <w:autoSpaceDN/>
        <w:bidi w:val="0"/>
        <w:adjustRightInd/>
        <w:snapToGrid/>
        <w:spacing w:before="60" w:beforeLines="0" w:after="60" w:afterLines="0" w:line="240" w:lineRule="auto"/>
        <w:ind w:left="3260"/>
        <w:jc w:val="both"/>
        <w:textAlignment w:val="auto"/>
        <w:rPr>
          <w:rFonts w:hint="eastAsia"/>
          <w:color w:val="auto"/>
          <w:sz w:val="18"/>
          <w:szCs w:val="18"/>
          <w:highlight w:val="none"/>
        </w:rPr>
      </w:pPr>
      <w:r>
        <w:rPr>
          <w:rFonts w:hint="eastAsia"/>
          <w:color w:val="auto"/>
          <w:sz w:val="18"/>
          <w:szCs w:val="18"/>
          <w:highlight w:val="none"/>
        </w:rPr>
        <w:t>表</w:t>
      </w:r>
      <w:r>
        <w:rPr>
          <w:rFonts w:hint="eastAsia"/>
          <w:color w:val="auto"/>
          <w:sz w:val="18"/>
          <w:szCs w:val="18"/>
          <w:highlight w:val="none"/>
          <w:lang w:val="en-US" w:eastAsia="zh-CN"/>
        </w:rPr>
        <w:t>B</w:t>
      </w:r>
      <w:r>
        <w:rPr>
          <w:color w:val="auto"/>
          <w:sz w:val="18"/>
          <w:szCs w:val="18"/>
          <w:highlight w:val="none"/>
        </w:rPr>
        <w:t>.</w:t>
      </w:r>
      <w:r>
        <w:rPr>
          <w:rFonts w:hint="eastAsia"/>
          <w:color w:val="auto"/>
          <w:sz w:val="18"/>
          <w:szCs w:val="18"/>
          <w:highlight w:val="none"/>
          <w:lang w:val="en-US" w:eastAsia="zh-CN"/>
        </w:rPr>
        <w:t>1</w:t>
      </w:r>
      <w:r>
        <w:rPr>
          <w:color w:val="auto"/>
          <w:sz w:val="18"/>
          <w:szCs w:val="18"/>
          <w:highlight w:val="none"/>
        </w:rPr>
        <w:t xml:space="preserve">-1 </w:t>
      </w:r>
      <w:r>
        <w:rPr>
          <w:rFonts w:hint="eastAsia"/>
          <w:color w:val="auto"/>
          <w:sz w:val="18"/>
          <w:szCs w:val="18"/>
          <w:highlight w:val="none"/>
        </w:rPr>
        <w:t>土壤盐化分级指标</w:t>
      </w:r>
    </w:p>
    <w:tbl>
      <w:tblPr>
        <w:tblStyle w:val="34"/>
        <w:tblW w:w="95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4"/>
        <w:gridCol w:w="808"/>
        <w:gridCol w:w="762"/>
        <w:gridCol w:w="920"/>
        <w:gridCol w:w="1198"/>
        <w:gridCol w:w="851"/>
        <w:gridCol w:w="3065"/>
      </w:tblGrid>
      <w:tr w14:paraId="51FE0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4" w:type="dxa"/>
            <w:vMerge w:val="restart"/>
            <w:vAlign w:val="center"/>
          </w:tcPr>
          <w:p w14:paraId="2C36644B">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盐化系列</w:t>
            </w:r>
          </w:p>
          <w:p w14:paraId="3B3FC648">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及适用地区</w:t>
            </w:r>
          </w:p>
        </w:tc>
        <w:tc>
          <w:tcPr>
            <w:tcW w:w="4539" w:type="dxa"/>
            <w:gridSpan w:val="5"/>
            <w:vAlign w:val="center"/>
          </w:tcPr>
          <w:p w14:paraId="5FB7311A">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color w:val="auto"/>
                <w:sz w:val="18"/>
                <w:szCs w:val="18"/>
                <w:highlight w:val="none"/>
              </w:rPr>
              <w:t>土壤含盐量</w:t>
            </w:r>
            <w:r>
              <w:rPr>
                <w:rFonts w:hint="default" w:ascii="Times New Roman" w:hAnsi="Times New Roman" w:eastAsia="宋体" w:cs="Times New Roman"/>
                <w:color w:val="auto"/>
                <w:sz w:val="18"/>
                <w:szCs w:val="18"/>
                <w:highlight w:val="none"/>
                <w:lang w:val="en-US" w:eastAsia="zh-CN"/>
              </w:rPr>
              <w:t>/g·kg</w:t>
            </w:r>
            <w:r>
              <w:rPr>
                <w:rFonts w:hint="default" w:ascii="Times New Roman" w:hAnsi="Times New Roman" w:eastAsia="宋体" w:cs="Times New Roman"/>
                <w:color w:val="auto"/>
                <w:sz w:val="18"/>
                <w:szCs w:val="18"/>
                <w:highlight w:val="none"/>
                <w:vertAlign w:val="superscript"/>
                <w:lang w:val="en-US" w:eastAsia="zh-CN"/>
              </w:rPr>
              <w:t>-1</w:t>
            </w:r>
          </w:p>
        </w:tc>
        <w:tc>
          <w:tcPr>
            <w:tcW w:w="3065" w:type="dxa"/>
            <w:vMerge w:val="restart"/>
            <w:vAlign w:val="center"/>
          </w:tcPr>
          <w:p w14:paraId="2EBC9D3A">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盐渍类型</w:t>
            </w:r>
          </w:p>
        </w:tc>
      </w:tr>
      <w:tr w14:paraId="67BE7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4" w:type="dxa"/>
            <w:vMerge w:val="continue"/>
            <w:vAlign w:val="center"/>
          </w:tcPr>
          <w:p w14:paraId="4F976D15">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p>
        </w:tc>
        <w:tc>
          <w:tcPr>
            <w:tcW w:w="808" w:type="dxa"/>
            <w:vAlign w:val="center"/>
          </w:tcPr>
          <w:p w14:paraId="393D11B8">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非盐化</w:t>
            </w:r>
          </w:p>
        </w:tc>
        <w:tc>
          <w:tcPr>
            <w:tcW w:w="762" w:type="dxa"/>
            <w:vAlign w:val="center"/>
          </w:tcPr>
          <w:p w14:paraId="04A773D3">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轻度</w:t>
            </w:r>
          </w:p>
        </w:tc>
        <w:tc>
          <w:tcPr>
            <w:tcW w:w="920" w:type="dxa"/>
            <w:vAlign w:val="center"/>
          </w:tcPr>
          <w:p w14:paraId="5B18B792">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中度</w:t>
            </w:r>
          </w:p>
        </w:tc>
        <w:tc>
          <w:tcPr>
            <w:tcW w:w="1198" w:type="dxa"/>
            <w:vAlign w:val="center"/>
          </w:tcPr>
          <w:p w14:paraId="77644507">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强度</w:t>
            </w:r>
          </w:p>
        </w:tc>
        <w:tc>
          <w:tcPr>
            <w:tcW w:w="851" w:type="dxa"/>
            <w:vAlign w:val="center"/>
          </w:tcPr>
          <w:p w14:paraId="3610353A">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盐土</w:t>
            </w:r>
          </w:p>
        </w:tc>
        <w:tc>
          <w:tcPr>
            <w:tcW w:w="3065" w:type="dxa"/>
            <w:vMerge w:val="continue"/>
            <w:vAlign w:val="center"/>
          </w:tcPr>
          <w:p w14:paraId="42A765FD">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p>
        </w:tc>
      </w:tr>
      <w:tr w14:paraId="02CEF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964" w:type="dxa"/>
            <w:vAlign w:val="center"/>
          </w:tcPr>
          <w:p w14:paraId="27FC8015">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半湿润半干旱、干旱区</w:t>
            </w:r>
          </w:p>
        </w:tc>
        <w:tc>
          <w:tcPr>
            <w:tcW w:w="808" w:type="dxa"/>
            <w:vAlign w:val="center"/>
          </w:tcPr>
          <w:p w14:paraId="48FD132E">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&lt;1</w:t>
            </w:r>
          </w:p>
        </w:tc>
        <w:tc>
          <w:tcPr>
            <w:tcW w:w="762" w:type="dxa"/>
            <w:vAlign w:val="center"/>
          </w:tcPr>
          <w:p w14:paraId="10E6708D">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1</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sz w:val="18"/>
                <w:szCs w:val="18"/>
                <w:highlight w:val="none"/>
              </w:rPr>
              <w:t>2</w:t>
            </w:r>
          </w:p>
        </w:tc>
        <w:tc>
          <w:tcPr>
            <w:tcW w:w="920" w:type="dxa"/>
            <w:vAlign w:val="center"/>
          </w:tcPr>
          <w:p w14:paraId="23755A08">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sz w:val="18"/>
                <w:szCs w:val="18"/>
                <w:highlight w:val="none"/>
              </w:rPr>
              <w:t>4</w:t>
            </w:r>
          </w:p>
        </w:tc>
        <w:tc>
          <w:tcPr>
            <w:tcW w:w="1198" w:type="dxa"/>
            <w:vAlign w:val="center"/>
          </w:tcPr>
          <w:p w14:paraId="0E19D50B">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4</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sz w:val="18"/>
                <w:szCs w:val="18"/>
                <w:highlight w:val="none"/>
              </w:rPr>
              <w:t>6（10）</w:t>
            </w:r>
          </w:p>
        </w:tc>
        <w:tc>
          <w:tcPr>
            <w:tcW w:w="851" w:type="dxa"/>
            <w:vAlign w:val="center"/>
          </w:tcPr>
          <w:p w14:paraId="7A4B66C5">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&gt;6（10）</w:t>
            </w:r>
          </w:p>
        </w:tc>
        <w:tc>
          <w:tcPr>
            <w:tcW w:w="3065" w:type="dxa"/>
            <w:vAlign w:val="center"/>
          </w:tcPr>
          <w:p w14:paraId="3A30C87D">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eastAsia="宋体" w:cs="Times New Roman"/>
                <w:color w:val="auto"/>
                <w:sz w:val="18"/>
                <w:szCs w:val="18"/>
                <w:highlight w:val="none"/>
                <w:lang w:val="en-US" w:eastAsia="zh-CN"/>
              </w:rPr>
              <w:t>CO</w:t>
            </w:r>
            <w:r>
              <w:rPr>
                <w:rFonts w:hint="default" w:ascii="Times New Roman" w:hAnsi="Times New Roman" w:eastAsia="宋体" w:cs="Times New Roman"/>
                <w:color w:val="auto"/>
                <w:sz w:val="18"/>
                <w:szCs w:val="18"/>
                <w:highlight w:val="none"/>
                <w:vertAlign w:val="subscript"/>
                <w:lang w:val="en-US" w:eastAsia="zh-CN"/>
              </w:rPr>
              <w:t>3</w:t>
            </w:r>
            <w:r>
              <w:rPr>
                <w:rFonts w:hint="default" w:ascii="Times New Roman" w:hAnsi="Times New Roman" w:eastAsia="宋体" w:cs="Times New Roman"/>
                <w:color w:val="auto"/>
                <w:sz w:val="18"/>
                <w:szCs w:val="18"/>
                <w:highlight w:val="none"/>
                <w:vertAlign w:val="superscript"/>
                <w:lang w:val="en-US" w:eastAsia="zh-CN"/>
              </w:rPr>
              <w:t>2-</w:t>
            </w:r>
            <w:r>
              <w:rPr>
                <w:rFonts w:hint="default" w:ascii="Times New Roman" w:hAnsi="Times New Roman" w:eastAsia="宋体" w:cs="Times New Roman"/>
                <w:color w:val="auto"/>
                <w:sz w:val="18"/>
                <w:szCs w:val="18"/>
                <w:highlight w:val="none"/>
                <w:vertAlign w:val="baseline"/>
                <w:lang w:val="en-US" w:eastAsia="zh-CN"/>
              </w:rPr>
              <w:t>+HCO</w:t>
            </w:r>
            <w:r>
              <w:rPr>
                <w:rFonts w:hint="eastAsia" w:cs="Times New Roman"/>
                <w:color w:val="auto"/>
                <w:sz w:val="18"/>
                <w:szCs w:val="18"/>
                <w:highlight w:val="none"/>
                <w:vertAlign w:val="subscript"/>
                <w:lang w:val="en-US" w:eastAsia="zh-CN"/>
              </w:rPr>
              <w:t>3</w:t>
            </w:r>
            <w:r>
              <w:rPr>
                <w:rFonts w:hint="default" w:ascii="Times New Roman" w:hAnsi="Times New Roman" w:eastAsia="宋体" w:cs="Times New Roman"/>
                <w:color w:val="auto"/>
                <w:sz w:val="18"/>
                <w:szCs w:val="18"/>
                <w:highlight w:val="none"/>
                <w:vertAlign w:val="superscript"/>
                <w:lang w:val="en-US" w:eastAsia="zh-CN"/>
              </w:rPr>
              <w:t>-</w:t>
            </w:r>
            <w:r>
              <w:rPr>
                <w:rFonts w:hint="default" w:ascii="Times New Roman" w:hAnsi="Times New Roman" w:eastAsia="宋体" w:cs="Times New Roman"/>
                <w:color w:val="auto"/>
                <w:sz w:val="18"/>
                <w:szCs w:val="18"/>
                <w:highlight w:val="none"/>
                <w:vertAlign w:val="baseline"/>
                <w:lang w:val="en-US" w:eastAsia="zh-CN"/>
              </w:rPr>
              <w:t>；Cl</w:t>
            </w:r>
            <w:r>
              <w:rPr>
                <w:rFonts w:hint="default" w:ascii="Times New Roman" w:hAnsi="Times New Roman" w:eastAsia="宋体" w:cs="Times New Roman"/>
                <w:color w:val="auto"/>
                <w:sz w:val="18"/>
                <w:szCs w:val="18"/>
                <w:highlight w:val="none"/>
                <w:vertAlign w:val="superscript"/>
                <w:lang w:val="en-US" w:eastAsia="zh-CN"/>
              </w:rPr>
              <w:t>-</w:t>
            </w:r>
            <w:r>
              <w:rPr>
                <w:rFonts w:hint="default" w:ascii="Times New Roman" w:hAnsi="Times New Roman" w:eastAsia="宋体" w:cs="Times New Roman"/>
                <w:color w:val="auto"/>
                <w:sz w:val="18"/>
                <w:szCs w:val="18"/>
                <w:highlight w:val="none"/>
                <w:vertAlign w:val="baseline"/>
                <w:lang w:val="en-US" w:eastAsia="zh-CN"/>
              </w:rPr>
              <w:t>；Cl</w:t>
            </w:r>
            <w:r>
              <w:rPr>
                <w:rFonts w:hint="default" w:ascii="Times New Roman" w:hAnsi="Times New Roman" w:eastAsia="宋体" w:cs="Times New Roman"/>
                <w:color w:val="auto"/>
                <w:sz w:val="18"/>
                <w:szCs w:val="18"/>
                <w:highlight w:val="none"/>
                <w:vertAlign w:val="superscript"/>
                <w:lang w:val="en-US" w:eastAsia="zh-CN"/>
              </w:rPr>
              <w:t>-</w:t>
            </w:r>
            <w:r>
              <w:rPr>
                <w:rFonts w:hint="default" w:ascii="Times New Roman" w:hAnsi="Times New Roman" w:eastAsia="宋体" w:cs="Times New Roman"/>
                <w:color w:val="auto"/>
                <w:sz w:val="18"/>
                <w:szCs w:val="18"/>
                <w:highlight w:val="none"/>
                <w:vertAlign w:val="baseline"/>
                <w:lang w:val="en-US" w:eastAsia="zh-CN"/>
              </w:rPr>
              <w:t>-SO</w:t>
            </w:r>
            <w:r>
              <w:rPr>
                <w:rFonts w:hint="default" w:ascii="Times New Roman" w:hAnsi="Times New Roman" w:eastAsia="宋体" w:cs="Times New Roman"/>
                <w:color w:val="auto"/>
                <w:sz w:val="18"/>
                <w:szCs w:val="18"/>
                <w:highlight w:val="none"/>
                <w:vertAlign w:val="subscript"/>
                <w:lang w:val="en-US" w:eastAsia="zh-CN"/>
              </w:rPr>
              <w:t>4</w:t>
            </w:r>
            <w:r>
              <w:rPr>
                <w:rFonts w:hint="default" w:ascii="Times New Roman" w:hAnsi="Times New Roman" w:eastAsia="宋体" w:cs="Times New Roman"/>
                <w:color w:val="auto"/>
                <w:sz w:val="18"/>
                <w:szCs w:val="18"/>
                <w:highlight w:val="none"/>
                <w:vertAlign w:val="superscript"/>
                <w:lang w:val="en-US" w:eastAsia="zh-CN"/>
              </w:rPr>
              <w:t>2-</w:t>
            </w:r>
            <w:r>
              <w:rPr>
                <w:rFonts w:hint="default" w:ascii="Times New Roman" w:hAnsi="Times New Roman" w:eastAsia="宋体" w:cs="Times New Roman"/>
                <w:color w:val="auto"/>
                <w:sz w:val="18"/>
                <w:szCs w:val="18"/>
                <w:highlight w:val="none"/>
                <w:vertAlign w:val="baseline"/>
                <w:lang w:val="en-US" w:eastAsia="zh-CN"/>
              </w:rPr>
              <w:t>；SO</w:t>
            </w:r>
            <w:r>
              <w:rPr>
                <w:rFonts w:hint="default" w:ascii="Times New Roman" w:hAnsi="Times New Roman" w:eastAsia="宋体" w:cs="Times New Roman"/>
                <w:color w:val="auto"/>
                <w:sz w:val="18"/>
                <w:szCs w:val="18"/>
                <w:highlight w:val="none"/>
                <w:vertAlign w:val="subscript"/>
                <w:lang w:val="en-US" w:eastAsia="zh-CN"/>
              </w:rPr>
              <w:t>4</w:t>
            </w:r>
            <w:r>
              <w:rPr>
                <w:rFonts w:hint="default" w:ascii="Times New Roman" w:hAnsi="Times New Roman" w:eastAsia="宋体" w:cs="Times New Roman"/>
                <w:color w:val="auto"/>
                <w:sz w:val="18"/>
                <w:szCs w:val="18"/>
                <w:highlight w:val="none"/>
                <w:vertAlign w:val="superscript"/>
                <w:lang w:val="en-US" w:eastAsia="zh-CN"/>
              </w:rPr>
              <w:t>2-</w:t>
            </w:r>
            <w:r>
              <w:rPr>
                <w:rFonts w:hint="default" w:ascii="Times New Roman" w:hAnsi="Times New Roman" w:eastAsia="宋体" w:cs="Times New Roman"/>
                <w:color w:val="auto"/>
                <w:sz w:val="18"/>
                <w:szCs w:val="18"/>
                <w:highlight w:val="none"/>
                <w:vertAlign w:val="baseline"/>
                <w:lang w:val="en-US" w:eastAsia="zh-CN"/>
              </w:rPr>
              <w:t>-Cl</w:t>
            </w:r>
            <w:r>
              <w:rPr>
                <w:rFonts w:hint="default" w:ascii="Times New Roman" w:hAnsi="Times New Roman" w:eastAsia="宋体" w:cs="Times New Roman"/>
                <w:color w:val="auto"/>
                <w:sz w:val="18"/>
                <w:szCs w:val="18"/>
                <w:highlight w:val="none"/>
                <w:vertAlign w:val="superscript"/>
                <w:lang w:val="en-US" w:eastAsia="zh-CN"/>
              </w:rPr>
              <w:t>-</w:t>
            </w:r>
          </w:p>
        </w:tc>
      </w:tr>
      <w:tr w14:paraId="11BBA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4" w:type="dxa"/>
            <w:vAlign w:val="center"/>
          </w:tcPr>
          <w:p w14:paraId="5DA0086A">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半漠境及漠境区</w:t>
            </w:r>
          </w:p>
        </w:tc>
        <w:tc>
          <w:tcPr>
            <w:tcW w:w="808" w:type="dxa"/>
            <w:vAlign w:val="center"/>
          </w:tcPr>
          <w:p w14:paraId="0167A4DB">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&lt;2</w:t>
            </w:r>
          </w:p>
        </w:tc>
        <w:tc>
          <w:tcPr>
            <w:tcW w:w="762" w:type="dxa"/>
            <w:vAlign w:val="center"/>
          </w:tcPr>
          <w:p w14:paraId="4B797C87">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2</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sz w:val="18"/>
                <w:szCs w:val="18"/>
                <w:highlight w:val="none"/>
              </w:rPr>
              <w:t>3（4）</w:t>
            </w:r>
          </w:p>
        </w:tc>
        <w:tc>
          <w:tcPr>
            <w:tcW w:w="920" w:type="dxa"/>
            <w:vAlign w:val="center"/>
          </w:tcPr>
          <w:p w14:paraId="463938C0">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3</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sz w:val="18"/>
                <w:szCs w:val="18"/>
                <w:highlight w:val="none"/>
              </w:rPr>
              <w:t>5（6）</w:t>
            </w:r>
          </w:p>
        </w:tc>
        <w:tc>
          <w:tcPr>
            <w:tcW w:w="1198" w:type="dxa"/>
            <w:vAlign w:val="center"/>
          </w:tcPr>
          <w:p w14:paraId="45802FA5">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5（6）</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sz w:val="18"/>
                <w:szCs w:val="18"/>
                <w:highlight w:val="none"/>
              </w:rPr>
              <w:t>10（20）</w:t>
            </w:r>
          </w:p>
        </w:tc>
        <w:tc>
          <w:tcPr>
            <w:tcW w:w="851" w:type="dxa"/>
            <w:vAlign w:val="center"/>
          </w:tcPr>
          <w:p w14:paraId="2CC0B8A7">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rPr>
            </w:pPr>
            <w:r>
              <w:rPr>
                <w:rFonts w:hint="default" w:ascii="Times New Roman" w:hAnsi="Times New Roman" w:cs="Times New Roman"/>
                <w:color w:val="auto"/>
                <w:sz w:val="18"/>
                <w:szCs w:val="18"/>
                <w:highlight w:val="none"/>
              </w:rPr>
              <w:t>&gt;10（20）</w:t>
            </w:r>
          </w:p>
        </w:tc>
        <w:tc>
          <w:tcPr>
            <w:tcW w:w="3065" w:type="dxa"/>
            <w:vAlign w:val="center"/>
          </w:tcPr>
          <w:p w14:paraId="1E63F7DF">
            <w:pPr>
              <w:keepNext w:val="0"/>
              <w:keepLines w:val="0"/>
              <w:pageBreakBefore w:val="0"/>
              <w:widowControl/>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sz w:val="18"/>
                <w:szCs w:val="18"/>
                <w:highlight w:val="none"/>
                <w:vertAlign w:val="baseline"/>
                <w:lang w:val="en-US"/>
              </w:rPr>
            </w:pPr>
            <w:r>
              <w:rPr>
                <w:rFonts w:hint="default" w:ascii="Times New Roman" w:hAnsi="Times New Roman" w:cs="Times New Roman"/>
                <w:color w:val="auto"/>
                <w:position w:val="-10"/>
                <w:sz w:val="18"/>
                <w:szCs w:val="18"/>
                <w:highlight w:val="none"/>
                <w:lang w:val="en-US" w:eastAsia="zh-CN"/>
              </w:rPr>
              <w:t>SO</w:t>
            </w:r>
            <w:r>
              <w:rPr>
                <w:rFonts w:hint="default" w:ascii="Times New Roman" w:hAnsi="Times New Roman" w:cs="Times New Roman"/>
                <w:color w:val="auto"/>
                <w:position w:val="-10"/>
                <w:sz w:val="18"/>
                <w:szCs w:val="18"/>
                <w:highlight w:val="none"/>
                <w:vertAlign w:val="subscript"/>
                <w:lang w:val="en-US" w:eastAsia="zh-CN"/>
              </w:rPr>
              <w:t>4</w:t>
            </w:r>
            <w:r>
              <w:rPr>
                <w:rFonts w:hint="default" w:ascii="Times New Roman" w:hAnsi="Times New Roman" w:cs="Times New Roman"/>
                <w:color w:val="auto"/>
                <w:position w:val="-10"/>
                <w:sz w:val="18"/>
                <w:szCs w:val="18"/>
                <w:highlight w:val="none"/>
                <w:vertAlign w:val="superscript"/>
                <w:lang w:val="en-US" w:eastAsia="zh-CN"/>
              </w:rPr>
              <w:t>2-</w:t>
            </w:r>
            <w:r>
              <w:rPr>
                <w:rFonts w:hint="eastAsia" w:cs="Times New Roman"/>
                <w:color w:val="auto"/>
                <w:position w:val="-10"/>
                <w:sz w:val="18"/>
                <w:szCs w:val="18"/>
                <w:highlight w:val="none"/>
                <w:vertAlign w:val="baseline"/>
                <w:lang w:val="en-US" w:eastAsia="zh-CN"/>
              </w:rPr>
              <w:t>；</w:t>
            </w:r>
            <w:r>
              <w:rPr>
                <w:rFonts w:hint="default" w:ascii="Times New Roman" w:hAnsi="Times New Roman" w:cs="Times New Roman"/>
                <w:color w:val="auto"/>
                <w:position w:val="-10"/>
                <w:sz w:val="18"/>
                <w:szCs w:val="18"/>
                <w:highlight w:val="none"/>
                <w:lang w:val="en-US" w:eastAsia="zh-CN"/>
              </w:rPr>
              <w:t>Cl</w:t>
            </w:r>
            <w:r>
              <w:rPr>
                <w:rFonts w:hint="default" w:ascii="Times New Roman" w:hAnsi="Times New Roman" w:cs="Times New Roman"/>
                <w:color w:val="auto"/>
                <w:position w:val="-10"/>
                <w:sz w:val="18"/>
                <w:szCs w:val="18"/>
                <w:highlight w:val="none"/>
                <w:vertAlign w:val="superscript"/>
                <w:lang w:val="en-US" w:eastAsia="zh-CN"/>
              </w:rPr>
              <w:t>-</w:t>
            </w:r>
            <w:r>
              <w:rPr>
                <w:rFonts w:hint="default" w:ascii="Times New Roman" w:hAnsi="Times New Roman" w:cs="Times New Roman"/>
                <w:color w:val="auto"/>
                <w:position w:val="-10"/>
                <w:sz w:val="18"/>
                <w:szCs w:val="18"/>
                <w:highlight w:val="none"/>
                <w:lang w:val="en-US" w:eastAsia="zh-CN"/>
              </w:rPr>
              <w:t>-SO</w:t>
            </w:r>
            <w:r>
              <w:rPr>
                <w:rFonts w:hint="default" w:ascii="Times New Roman" w:hAnsi="Times New Roman" w:cs="Times New Roman"/>
                <w:color w:val="auto"/>
                <w:position w:val="-10"/>
                <w:sz w:val="18"/>
                <w:szCs w:val="18"/>
                <w:highlight w:val="none"/>
                <w:vertAlign w:val="subscript"/>
                <w:lang w:val="en-US" w:eastAsia="zh-CN"/>
              </w:rPr>
              <w:t>4</w:t>
            </w:r>
            <w:r>
              <w:rPr>
                <w:rFonts w:hint="default" w:ascii="Times New Roman" w:hAnsi="Times New Roman" w:cs="Times New Roman"/>
                <w:color w:val="auto"/>
                <w:position w:val="-10"/>
                <w:sz w:val="18"/>
                <w:szCs w:val="18"/>
                <w:highlight w:val="none"/>
                <w:vertAlign w:val="superscript"/>
                <w:lang w:val="en-US" w:eastAsia="zh-CN"/>
              </w:rPr>
              <w:t>2-</w:t>
            </w:r>
            <w:r>
              <w:rPr>
                <w:rFonts w:hint="eastAsia" w:cs="Times New Roman"/>
                <w:color w:val="auto"/>
                <w:position w:val="-10"/>
                <w:sz w:val="18"/>
                <w:szCs w:val="18"/>
                <w:highlight w:val="none"/>
                <w:vertAlign w:val="baseline"/>
                <w:lang w:val="en-US" w:eastAsia="zh-CN"/>
              </w:rPr>
              <w:t>；</w:t>
            </w:r>
            <w:r>
              <w:rPr>
                <w:rFonts w:hint="default" w:ascii="Times New Roman" w:hAnsi="Times New Roman" w:cs="Times New Roman"/>
                <w:color w:val="auto"/>
                <w:position w:val="-10"/>
                <w:sz w:val="18"/>
                <w:szCs w:val="18"/>
                <w:highlight w:val="none"/>
                <w:lang w:val="en-US" w:eastAsia="zh-CN"/>
              </w:rPr>
              <w:t>SO</w:t>
            </w:r>
            <w:r>
              <w:rPr>
                <w:rFonts w:hint="default" w:ascii="Times New Roman" w:hAnsi="Times New Roman" w:cs="Times New Roman"/>
                <w:color w:val="auto"/>
                <w:position w:val="-10"/>
                <w:sz w:val="18"/>
                <w:szCs w:val="18"/>
                <w:highlight w:val="none"/>
                <w:vertAlign w:val="subscript"/>
                <w:lang w:val="en-US" w:eastAsia="zh-CN"/>
              </w:rPr>
              <w:t>4</w:t>
            </w:r>
            <w:r>
              <w:rPr>
                <w:rFonts w:hint="default" w:ascii="Times New Roman" w:hAnsi="Times New Roman" w:cs="Times New Roman"/>
                <w:color w:val="auto"/>
                <w:position w:val="-10"/>
                <w:sz w:val="18"/>
                <w:szCs w:val="18"/>
                <w:highlight w:val="none"/>
                <w:vertAlign w:val="superscript"/>
                <w:lang w:val="en-US" w:eastAsia="zh-CN"/>
              </w:rPr>
              <w:t>2-</w:t>
            </w:r>
            <w:r>
              <w:rPr>
                <w:rFonts w:hint="default" w:ascii="Times New Roman" w:hAnsi="Times New Roman" w:cs="Times New Roman"/>
                <w:color w:val="auto"/>
                <w:position w:val="-10"/>
                <w:sz w:val="18"/>
                <w:szCs w:val="18"/>
                <w:highlight w:val="none"/>
                <w:vertAlign w:val="baseline"/>
                <w:lang w:val="en-US" w:eastAsia="zh-CN"/>
              </w:rPr>
              <w:t>-</w:t>
            </w:r>
            <w:r>
              <w:rPr>
                <w:rFonts w:hint="default" w:ascii="Times New Roman" w:hAnsi="Times New Roman" w:cs="Times New Roman"/>
                <w:color w:val="auto"/>
                <w:position w:val="-10"/>
                <w:sz w:val="18"/>
                <w:szCs w:val="18"/>
                <w:highlight w:val="none"/>
                <w:lang w:val="en-US" w:eastAsia="zh-CN"/>
              </w:rPr>
              <w:t>Cl</w:t>
            </w:r>
            <w:r>
              <w:rPr>
                <w:rFonts w:hint="default" w:ascii="Times New Roman" w:hAnsi="Times New Roman" w:cs="Times New Roman"/>
                <w:color w:val="auto"/>
                <w:position w:val="-10"/>
                <w:sz w:val="18"/>
                <w:szCs w:val="18"/>
                <w:highlight w:val="none"/>
                <w:vertAlign w:val="superscript"/>
                <w:lang w:val="en-US" w:eastAsia="zh-CN"/>
              </w:rPr>
              <w:t>-</w:t>
            </w:r>
          </w:p>
        </w:tc>
      </w:tr>
    </w:tbl>
    <w:p w14:paraId="7D7017CD">
      <w:pPr>
        <w:pStyle w:val="139"/>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240" w:lineRule="auto"/>
        <w:jc w:val="center"/>
        <w:textAlignment w:val="auto"/>
        <w:rPr>
          <w:color w:val="auto"/>
          <w:sz w:val="18"/>
          <w:szCs w:val="18"/>
          <w:highlight w:val="none"/>
        </w:rPr>
      </w:pPr>
      <w:r>
        <w:rPr>
          <w:rFonts w:hint="eastAsia"/>
          <w:color w:val="auto"/>
          <w:sz w:val="18"/>
          <w:szCs w:val="18"/>
          <w:highlight w:val="none"/>
        </w:rPr>
        <w:t>表</w:t>
      </w:r>
      <w:r>
        <w:rPr>
          <w:rFonts w:hint="eastAsia"/>
          <w:color w:val="auto"/>
          <w:sz w:val="18"/>
          <w:szCs w:val="18"/>
          <w:highlight w:val="none"/>
          <w:lang w:val="en-US" w:eastAsia="zh-CN"/>
        </w:rPr>
        <w:t>B</w:t>
      </w:r>
      <w:r>
        <w:rPr>
          <w:color w:val="auto"/>
          <w:sz w:val="18"/>
          <w:szCs w:val="18"/>
          <w:highlight w:val="none"/>
        </w:rPr>
        <w:t>.</w:t>
      </w:r>
      <w:r>
        <w:rPr>
          <w:rFonts w:hint="eastAsia"/>
          <w:color w:val="auto"/>
          <w:sz w:val="18"/>
          <w:szCs w:val="18"/>
          <w:highlight w:val="none"/>
          <w:lang w:val="en-US" w:eastAsia="zh-CN"/>
        </w:rPr>
        <w:t>1</w:t>
      </w:r>
      <w:r>
        <w:rPr>
          <w:color w:val="auto"/>
          <w:sz w:val="18"/>
          <w:szCs w:val="18"/>
          <w:highlight w:val="none"/>
        </w:rPr>
        <w:t xml:space="preserve">-2 </w:t>
      </w:r>
      <w:r>
        <w:rPr>
          <w:rFonts w:hint="eastAsia"/>
          <w:color w:val="auto"/>
          <w:sz w:val="18"/>
          <w:szCs w:val="18"/>
          <w:highlight w:val="none"/>
        </w:rPr>
        <w:t>不同盐分类型的盐土与盐（渍）化土分级（</w:t>
      </w:r>
      <w:r>
        <w:rPr>
          <w:rFonts w:hint="eastAsia"/>
          <w:color w:val="auto"/>
          <w:sz w:val="18"/>
          <w:szCs w:val="18"/>
          <w:highlight w:val="none"/>
          <w:lang w:val="en-US" w:eastAsia="zh-CN"/>
        </w:rPr>
        <w:t>0cm</w:t>
      </w:r>
      <w:r>
        <w:rPr>
          <w:rFonts w:hint="default" w:ascii="Times New Roman" w:hAnsi="Times New Roman" w:cs="Times New Roman"/>
          <w:color w:val="auto"/>
          <w:sz w:val="18"/>
          <w:szCs w:val="18"/>
          <w:highlight w:val="none"/>
          <w:lang w:val="en-US" w:eastAsia="zh-CN"/>
        </w:rPr>
        <w:t>~</w:t>
      </w:r>
      <w:r>
        <w:rPr>
          <w:rFonts w:hint="eastAsia"/>
          <w:color w:val="auto"/>
          <w:sz w:val="18"/>
          <w:szCs w:val="18"/>
          <w:highlight w:val="none"/>
          <w:lang w:val="en-US" w:eastAsia="zh-CN"/>
        </w:rPr>
        <w:t>20cm</w:t>
      </w:r>
      <w:r>
        <w:rPr>
          <w:rFonts w:hint="eastAsia"/>
          <w:color w:val="auto"/>
          <w:sz w:val="18"/>
          <w:szCs w:val="18"/>
          <w:highlight w:val="none"/>
        </w:rPr>
        <w:t>）</w:t>
      </w:r>
    </w:p>
    <w:tbl>
      <w:tblPr>
        <w:tblStyle w:val="34"/>
        <w:tblW w:w="95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31"/>
        <w:gridCol w:w="1853"/>
        <w:gridCol w:w="1786"/>
        <w:gridCol w:w="1718"/>
        <w:gridCol w:w="1782"/>
      </w:tblGrid>
      <w:tr w14:paraId="0EA79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Merge w:val="restart"/>
            <w:vAlign w:val="center"/>
          </w:tcPr>
          <w:p w14:paraId="0DDD55F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主要盐分</w:t>
            </w:r>
          </w:p>
        </w:tc>
        <w:tc>
          <w:tcPr>
            <w:tcW w:w="1853" w:type="dxa"/>
            <w:vMerge w:val="restart"/>
            <w:vAlign w:val="center"/>
          </w:tcPr>
          <w:p w14:paraId="0D1264E4">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盐土/</w:t>
            </w:r>
            <w:r>
              <w:rPr>
                <w:rFonts w:hint="default" w:ascii="Times New Roman" w:hAnsi="Times New Roman" w:eastAsia="宋体" w:cs="Times New Roman"/>
                <w:color w:val="auto"/>
                <w:sz w:val="18"/>
                <w:szCs w:val="18"/>
                <w:highlight w:val="none"/>
                <w:lang w:val="en-US" w:eastAsia="zh-CN"/>
              </w:rPr>
              <w:t>g·kg</w:t>
            </w:r>
            <w:r>
              <w:rPr>
                <w:rFonts w:hint="default" w:ascii="Times New Roman" w:hAnsi="Times New Roman" w:eastAsia="宋体" w:cs="Times New Roman"/>
                <w:color w:val="auto"/>
                <w:sz w:val="18"/>
                <w:szCs w:val="18"/>
                <w:highlight w:val="none"/>
                <w:vertAlign w:val="superscript"/>
                <w:lang w:val="en-US" w:eastAsia="zh-CN"/>
              </w:rPr>
              <w:t>-1</w:t>
            </w:r>
          </w:p>
        </w:tc>
        <w:tc>
          <w:tcPr>
            <w:tcW w:w="5286" w:type="dxa"/>
            <w:gridSpan w:val="3"/>
            <w:vAlign w:val="center"/>
          </w:tcPr>
          <w:p w14:paraId="31EA8B0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eastAsia="宋体" w:cs="Times New Roman"/>
                <w:color w:val="auto"/>
                <w:kern w:val="0"/>
                <w:sz w:val="18"/>
                <w:szCs w:val="18"/>
                <w:highlight w:val="none"/>
                <w:lang w:val="en-US" w:eastAsia="zh-CN" w:bidi="ar"/>
              </w:rPr>
            </w:pPr>
            <w:r>
              <w:rPr>
                <w:rFonts w:hint="default" w:ascii="Times New Roman" w:hAnsi="Times New Roman" w:cs="Times New Roman"/>
                <w:color w:val="auto"/>
                <w:kern w:val="0"/>
                <w:sz w:val="18"/>
                <w:szCs w:val="18"/>
                <w:highlight w:val="none"/>
                <w:lang w:bidi="ar"/>
              </w:rPr>
              <w:t>盐（渍）化土/</w:t>
            </w:r>
            <w:r>
              <w:rPr>
                <w:rFonts w:hint="default" w:ascii="Times New Roman" w:hAnsi="Times New Roman" w:eastAsia="宋体" w:cs="Times New Roman"/>
                <w:color w:val="auto"/>
                <w:sz w:val="18"/>
                <w:szCs w:val="18"/>
                <w:highlight w:val="none"/>
                <w:lang w:val="en-US" w:eastAsia="zh-CN"/>
              </w:rPr>
              <w:t>g·kg</w:t>
            </w:r>
            <w:r>
              <w:rPr>
                <w:rFonts w:hint="default" w:ascii="Times New Roman" w:hAnsi="Times New Roman" w:eastAsia="宋体" w:cs="Times New Roman"/>
                <w:color w:val="auto"/>
                <w:sz w:val="18"/>
                <w:szCs w:val="18"/>
                <w:highlight w:val="none"/>
                <w:vertAlign w:val="superscript"/>
                <w:lang w:val="en-US" w:eastAsia="zh-CN"/>
              </w:rPr>
              <w:t>-1</w:t>
            </w:r>
          </w:p>
        </w:tc>
      </w:tr>
      <w:tr w14:paraId="18860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Merge w:val="continue"/>
            <w:vAlign w:val="center"/>
          </w:tcPr>
          <w:p w14:paraId="58FE9267">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p>
        </w:tc>
        <w:tc>
          <w:tcPr>
            <w:tcW w:w="1853" w:type="dxa"/>
            <w:vMerge w:val="continue"/>
            <w:vAlign w:val="center"/>
          </w:tcPr>
          <w:p w14:paraId="5E7C6975">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p>
        </w:tc>
        <w:tc>
          <w:tcPr>
            <w:tcW w:w="1786" w:type="dxa"/>
            <w:vAlign w:val="center"/>
          </w:tcPr>
          <w:p w14:paraId="70ED2CF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重</w:t>
            </w:r>
          </w:p>
        </w:tc>
        <w:tc>
          <w:tcPr>
            <w:tcW w:w="1718" w:type="dxa"/>
            <w:vAlign w:val="center"/>
          </w:tcPr>
          <w:p w14:paraId="4156039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中</w:t>
            </w:r>
          </w:p>
        </w:tc>
        <w:tc>
          <w:tcPr>
            <w:tcW w:w="1782" w:type="dxa"/>
            <w:vAlign w:val="center"/>
          </w:tcPr>
          <w:p w14:paraId="0D79ADED">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轻</w:t>
            </w:r>
          </w:p>
        </w:tc>
      </w:tr>
      <w:tr w14:paraId="0CD2E5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43F27ACE">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苏打（</w:t>
            </w:r>
            <w:r>
              <w:rPr>
                <w:rFonts w:hint="default" w:ascii="Times New Roman" w:hAnsi="Times New Roman" w:eastAsia="宋体" w:cs="Times New Roman"/>
                <w:color w:val="auto"/>
                <w:sz w:val="18"/>
                <w:szCs w:val="18"/>
                <w:highlight w:val="none"/>
                <w:lang w:val="en-US" w:eastAsia="zh-CN"/>
              </w:rPr>
              <w:t>CO</w:t>
            </w:r>
            <w:r>
              <w:rPr>
                <w:rFonts w:hint="default" w:ascii="Times New Roman" w:hAnsi="Times New Roman" w:eastAsia="宋体" w:cs="Times New Roman"/>
                <w:color w:val="auto"/>
                <w:sz w:val="18"/>
                <w:szCs w:val="18"/>
                <w:highlight w:val="none"/>
                <w:vertAlign w:val="subscript"/>
                <w:lang w:val="en-US" w:eastAsia="zh-CN"/>
              </w:rPr>
              <w:t>3</w:t>
            </w:r>
            <w:r>
              <w:rPr>
                <w:rFonts w:hint="default" w:ascii="Times New Roman" w:hAnsi="Times New Roman" w:eastAsia="宋体" w:cs="Times New Roman"/>
                <w:color w:val="auto"/>
                <w:sz w:val="18"/>
                <w:szCs w:val="18"/>
                <w:highlight w:val="none"/>
                <w:vertAlign w:val="superscript"/>
                <w:lang w:val="en-US" w:eastAsia="zh-CN"/>
              </w:rPr>
              <w:t>2-</w:t>
            </w:r>
            <w:r>
              <w:rPr>
                <w:rFonts w:hint="default" w:ascii="Times New Roman" w:hAnsi="Times New Roman" w:eastAsia="宋体" w:cs="Times New Roman"/>
                <w:color w:val="auto"/>
                <w:sz w:val="18"/>
                <w:szCs w:val="18"/>
                <w:highlight w:val="none"/>
                <w:vertAlign w:val="baseline"/>
                <w:lang w:val="en-US" w:eastAsia="zh-CN"/>
              </w:rPr>
              <w:t>+HCO</w:t>
            </w:r>
            <w:r>
              <w:rPr>
                <w:rFonts w:hint="default" w:ascii="Times New Roman" w:hAnsi="Times New Roman" w:eastAsia="宋体" w:cs="Times New Roman"/>
                <w:color w:val="auto"/>
                <w:sz w:val="18"/>
                <w:szCs w:val="18"/>
                <w:highlight w:val="none"/>
                <w:vertAlign w:val="superscript"/>
                <w:lang w:val="en-US" w:eastAsia="zh-CN"/>
              </w:rPr>
              <w:t>-</w:t>
            </w:r>
            <w:r>
              <w:rPr>
                <w:rFonts w:hint="default" w:ascii="Times New Roman" w:hAnsi="Times New Roman" w:eastAsia="宋体" w:cs="Times New Roman"/>
                <w:color w:val="auto"/>
                <w:sz w:val="18"/>
                <w:szCs w:val="18"/>
                <w:highlight w:val="none"/>
                <w:vertAlign w:val="subscript"/>
                <w:lang w:val="en-US" w:eastAsia="zh-CN"/>
              </w:rPr>
              <w:t>3</w:t>
            </w:r>
            <w:r>
              <w:rPr>
                <w:rFonts w:hint="default" w:ascii="Times New Roman" w:hAnsi="Times New Roman" w:cs="Times New Roman"/>
                <w:color w:val="auto"/>
                <w:kern w:val="0"/>
                <w:sz w:val="18"/>
                <w:szCs w:val="18"/>
                <w:highlight w:val="none"/>
                <w:lang w:bidi="ar"/>
              </w:rPr>
              <w:t>）</w:t>
            </w:r>
          </w:p>
        </w:tc>
        <w:tc>
          <w:tcPr>
            <w:tcW w:w="1853" w:type="dxa"/>
            <w:vAlign w:val="center"/>
          </w:tcPr>
          <w:p w14:paraId="0BEDFF8B">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&gt;7</w:t>
            </w:r>
          </w:p>
        </w:tc>
        <w:tc>
          <w:tcPr>
            <w:tcW w:w="1786" w:type="dxa"/>
            <w:vAlign w:val="center"/>
          </w:tcPr>
          <w:p w14:paraId="41EAABA8">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5</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7</w:t>
            </w:r>
          </w:p>
        </w:tc>
        <w:tc>
          <w:tcPr>
            <w:tcW w:w="1718" w:type="dxa"/>
            <w:vAlign w:val="center"/>
          </w:tcPr>
          <w:p w14:paraId="1F0141EB">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3</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5</w:t>
            </w:r>
          </w:p>
        </w:tc>
        <w:tc>
          <w:tcPr>
            <w:tcW w:w="1782" w:type="dxa"/>
            <w:vAlign w:val="center"/>
          </w:tcPr>
          <w:p w14:paraId="71940640">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1</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3</w:t>
            </w:r>
          </w:p>
        </w:tc>
      </w:tr>
      <w:tr w14:paraId="2BF90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38D7587F">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氯化物（</w:t>
            </w:r>
            <w:r>
              <w:rPr>
                <w:rFonts w:hint="default" w:ascii="Times New Roman" w:hAnsi="Times New Roman" w:eastAsia="宋体" w:cs="Times New Roman"/>
                <w:color w:val="auto"/>
                <w:sz w:val="18"/>
                <w:szCs w:val="18"/>
                <w:highlight w:val="none"/>
                <w:vertAlign w:val="baseline"/>
                <w:lang w:val="en-US" w:eastAsia="zh-CN"/>
              </w:rPr>
              <w:t>Cl</w:t>
            </w:r>
            <w:r>
              <w:rPr>
                <w:rFonts w:hint="default" w:ascii="Times New Roman" w:hAnsi="Times New Roman" w:eastAsia="宋体" w:cs="Times New Roman"/>
                <w:color w:val="auto"/>
                <w:sz w:val="18"/>
                <w:szCs w:val="18"/>
                <w:highlight w:val="none"/>
                <w:vertAlign w:val="superscript"/>
                <w:lang w:val="en-US" w:eastAsia="zh-CN"/>
              </w:rPr>
              <w:t>-</w:t>
            </w:r>
            <w:r>
              <w:rPr>
                <w:rFonts w:hint="default" w:ascii="Times New Roman" w:hAnsi="Times New Roman" w:cs="Times New Roman"/>
                <w:color w:val="auto"/>
                <w:kern w:val="0"/>
                <w:sz w:val="18"/>
                <w:szCs w:val="18"/>
                <w:highlight w:val="none"/>
                <w:lang w:bidi="ar"/>
              </w:rPr>
              <w:t>）</w:t>
            </w:r>
          </w:p>
        </w:tc>
        <w:tc>
          <w:tcPr>
            <w:tcW w:w="1853" w:type="dxa"/>
            <w:vAlign w:val="center"/>
          </w:tcPr>
          <w:p w14:paraId="2711728F">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&gt;10</w:t>
            </w:r>
          </w:p>
        </w:tc>
        <w:tc>
          <w:tcPr>
            <w:tcW w:w="1786" w:type="dxa"/>
            <w:vAlign w:val="center"/>
          </w:tcPr>
          <w:p w14:paraId="432355E7">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6</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10</w:t>
            </w:r>
          </w:p>
        </w:tc>
        <w:tc>
          <w:tcPr>
            <w:tcW w:w="1718" w:type="dxa"/>
            <w:vAlign w:val="center"/>
          </w:tcPr>
          <w:p w14:paraId="0D414806">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4</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6</w:t>
            </w:r>
          </w:p>
        </w:tc>
        <w:tc>
          <w:tcPr>
            <w:tcW w:w="1782" w:type="dxa"/>
            <w:vAlign w:val="center"/>
          </w:tcPr>
          <w:p w14:paraId="024B9B1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2</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4</w:t>
            </w:r>
          </w:p>
        </w:tc>
      </w:tr>
      <w:tr w14:paraId="3C48C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1CDB312E">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硫酸盐（</w:t>
            </w:r>
            <w:r>
              <w:rPr>
                <w:rFonts w:hint="default" w:ascii="Times New Roman" w:hAnsi="Times New Roman" w:eastAsia="宋体" w:cs="Times New Roman"/>
                <w:color w:val="auto"/>
                <w:sz w:val="18"/>
                <w:szCs w:val="18"/>
                <w:highlight w:val="none"/>
                <w:vertAlign w:val="baseline"/>
                <w:lang w:val="en-US" w:eastAsia="zh-CN"/>
              </w:rPr>
              <w:t>SO</w:t>
            </w:r>
            <w:r>
              <w:rPr>
                <w:rFonts w:hint="default" w:ascii="Times New Roman" w:hAnsi="Times New Roman" w:eastAsia="宋体" w:cs="Times New Roman"/>
                <w:color w:val="auto"/>
                <w:sz w:val="18"/>
                <w:szCs w:val="18"/>
                <w:highlight w:val="none"/>
                <w:vertAlign w:val="subscript"/>
                <w:lang w:val="en-US" w:eastAsia="zh-CN"/>
              </w:rPr>
              <w:t>4</w:t>
            </w:r>
            <w:r>
              <w:rPr>
                <w:rFonts w:hint="default" w:ascii="Times New Roman" w:hAnsi="Times New Roman" w:eastAsia="宋体" w:cs="Times New Roman"/>
                <w:color w:val="auto"/>
                <w:sz w:val="18"/>
                <w:szCs w:val="18"/>
                <w:highlight w:val="none"/>
                <w:vertAlign w:val="superscript"/>
                <w:lang w:val="en-US" w:eastAsia="zh-CN"/>
              </w:rPr>
              <w:t>2-</w:t>
            </w:r>
            <w:r>
              <w:rPr>
                <w:rFonts w:hint="default" w:ascii="Times New Roman" w:hAnsi="Times New Roman" w:cs="Times New Roman"/>
                <w:color w:val="auto"/>
                <w:kern w:val="0"/>
                <w:sz w:val="18"/>
                <w:szCs w:val="18"/>
                <w:highlight w:val="none"/>
                <w:lang w:bidi="ar"/>
              </w:rPr>
              <w:t>）</w:t>
            </w:r>
          </w:p>
        </w:tc>
        <w:tc>
          <w:tcPr>
            <w:tcW w:w="1853" w:type="dxa"/>
            <w:vAlign w:val="center"/>
          </w:tcPr>
          <w:p w14:paraId="761255D5">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&gt;12</w:t>
            </w:r>
          </w:p>
        </w:tc>
        <w:tc>
          <w:tcPr>
            <w:tcW w:w="1786" w:type="dxa"/>
            <w:vAlign w:val="center"/>
          </w:tcPr>
          <w:p w14:paraId="13B46235">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7</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12</w:t>
            </w:r>
          </w:p>
        </w:tc>
        <w:tc>
          <w:tcPr>
            <w:tcW w:w="1718" w:type="dxa"/>
            <w:vAlign w:val="center"/>
          </w:tcPr>
          <w:p w14:paraId="4F055116">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5</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7</w:t>
            </w:r>
          </w:p>
        </w:tc>
        <w:tc>
          <w:tcPr>
            <w:tcW w:w="1782" w:type="dxa"/>
            <w:vAlign w:val="center"/>
          </w:tcPr>
          <w:p w14:paraId="5FCF16D3">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3</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5</w:t>
            </w:r>
          </w:p>
        </w:tc>
      </w:tr>
    </w:tbl>
    <w:p w14:paraId="0B1A93A4">
      <w:pPr>
        <w:pStyle w:val="139"/>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240" w:lineRule="auto"/>
        <w:jc w:val="center"/>
        <w:textAlignment w:val="auto"/>
        <w:rPr>
          <w:rFonts w:hint="eastAsia" w:hAnsi="Times New Roman" w:cs="Times New Roman"/>
          <w:color w:val="auto"/>
          <w:sz w:val="18"/>
          <w:szCs w:val="18"/>
          <w:highlight w:val="none"/>
        </w:rPr>
      </w:pPr>
      <w:r>
        <w:rPr>
          <w:rFonts w:hint="eastAsia" w:hAnsi="Times New Roman" w:cs="Times New Roman"/>
          <w:color w:val="auto"/>
          <w:sz w:val="18"/>
          <w:szCs w:val="18"/>
          <w:highlight w:val="none"/>
        </w:rPr>
        <w:t>表</w:t>
      </w:r>
      <w:r>
        <w:rPr>
          <w:rFonts w:hint="eastAsia" w:hAnsi="Times New Roman" w:cs="Times New Roman"/>
          <w:color w:val="auto"/>
          <w:sz w:val="18"/>
          <w:szCs w:val="18"/>
          <w:highlight w:val="none"/>
          <w:lang w:val="en-US" w:eastAsia="zh-CN"/>
        </w:rPr>
        <w:t>B</w:t>
      </w:r>
      <w:r>
        <w:rPr>
          <w:rFonts w:hint="eastAsia" w:hAnsi="Times New Roman" w:cs="Times New Roman"/>
          <w:color w:val="auto"/>
          <w:sz w:val="18"/>
          <w:szCs w:val="18"/>
          <w:highlight w:val="none"/>
        </w:rPr>
        <w:t>.</w:t>
      </w:r>
      <w:r>
        <w:rPr>
          <w:rFonts w:hint="eastAsia" w:cs="Times New Roman"/>
          <w:color w:val="auto"/>
          <w:sz w:val="18"/>
          <w:szCs w:val="18"/>
          <w:highlight w:val="none"/>
          <w:lang w:val="en-US" w:eastAsia="zh-CN"/>
        </w:rPr>
        <w:t>1</w:t>
      </w:r>
      <w:r>
        <w:rPr>
          <w:rFonts w:hint="eastAsia" w:hAnsi="Times New Roman" w:cs="Times New Roman"/>
          <w:color w:val="auto"/>
          <w:sz w:val="18"/>
          <w:szCs w:val="18"/>
          <w:highlight w:val="none"/>
        </w:rPr>
        <w:t>-3 土壤碱化分级指标</w:t>
      </w:r>
    </w:p>
    <w:tbl>
      <w:tblPr>
        <w:tblStyle w:val="34"/>
        <w:tblW w:w="956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9"/>
        <w:gridCol w:w="3596"/>
        <w:gridCol w:w="2312"/>
        <w:gridCol w:w="1669"/>
      </w:tblGrid>
      <w:tr w14:paraId="2ABB3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Align w:val="center"/>
          </w:tcPr>
          <w:p w14:paraId="6E63004B">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分级</w:t>
            </w:r>
          </w:p>
        </w:tc>
        <w:tc>
          <w:tcPr>
            <w:tcW w:w="3596" w:type="dxa"/>
            <w:vAlign w:val="center"/>
          </w:tcPr>
          <w:p w14:paraId="205B2637">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残余碳酸钠/</w:t>
            </w:r>
            <w:r>
              <w:rPr>
                <w:rFonts w:hint="default" w:ascii="Times New Roman" w:hAnsi="Times New Roman" w:cs="Times New Roman"/>
                <w:color w:val="auto"/>
                <w:kern w:val="0"/>
                <w:sz w:val="18"/>
                <w:szCs w:val="18"/>
                <w:highlight w:val="none"/>
                <w:lang w:val="en-US" w:eastAsia="zh-CN" w:bidi="ar"/>
              </w:rPr>
              <w:t>cmol</w:t>
            </w:r>
            <w:r>
              <w:rPr>
                <w:rFonts w:hint="default" w:ascii="Times New Roman" w:hAnsi="Times New Roman" w:eastAsia="宋体" w:cs="Times New Roman"/>
                <w:color w:val="auto"/>
                <w:sz w:val="18"/>
                <w:szCs w:val="18"/>
                <w:highlight w:val="none"/>
                <w:lang w:val="en-US" w:eastAsia="zh-CN"/>
              </w:rPr>
              <w:t>·kg</w:t>
            </w:r>
            <w:r>
              <w:rPr>
                <w:rFonts w:hint="default" w:ascii="Times New Roman" w:hAnsi="Times New Roman" w:eastAsia="宋体" w:cs="Times New Roman"/>
                <w:color w:val="auto"/>
                <w:sz w:val="18"/>
                <w:szCs w:val="18"/>
                <w:highlight w:val="none"/>
                <w:vertAlign w:val="superscript"/>
                <w:lang w:val="en-US" w:eastAsia="zh-CN"/>
              </w:rPr>
              <w:t>-1</w:t>
            </w:r>
          </w:p>
        </w:tc>
        <w:tc>
          <w:tcPr>
            <w:tcW w:w="2312" w:type="dxa"/>
            <w:vAlign w:val="center"/>
          </w:tcPr>
          <w:p w14:paraId="37565B31">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酸碱度（</w:t>
            </w:r>
            <w:r>
              <w:rPr>
                <w:rFonts w:hint="default" w:ascii="Times New Roman" w:hAnsi="Times New Roman" w:cs="Times New Roman"/>
                <w:color w:val="auto"/>
                <w:kern w:val="0"/>
                <w:sz w:val="18"/>
                <w:szCs w:val="18"/>
                <w:highlight w:val="none"/>
                <w:lang w:val="en-US" w:eastAsia="zh-CN" w:bidi="ar"/>
              </w:rPr>
              <w:t>pH</w:t>
            </w:r>
            <w:r>
              <w:rPr>
                <w:rFonts w:hint="default" w:ascii="Times New Roman" w:hAnsi="Times New Roman" w:cs="Times New Roman"/>
                <w:color w:val="auto"/>
                <w:kern w:val="0"/>
                <w:sz w:val="18"/>
                <w:szCs w:val="18"/>
                <w:highlight w:val="none"/>
                <w:lang w:bidi="ar"/>
              </w:rPr>
              <w:t>）</w:t>
            </w:r>
          </w:p>
        </w:tc>
        <w:tc>
          <w:tcPr>
            <w:tcW w:w="1669" w:type="dxa"/>
            <w:vAlign w:val="center"/>
          </w:tcPr>
          <w:p w14:paraId="005CDE10">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碱化度/%</w:t>
            </w:r>
          </w:p>
        </w:tc>
      </w:tr>
      <w:tr w14:paraId="69CA8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Align w:val="center"/>
          </w:tcPr>
          <w:p w14:paraId="68000F8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非碱化土壤</w:t>
            </w:r>
          </w:p>
        </w:tc>
        <w:tc>
          <w:tcPr>
            <w:tcW w:w="3596" w:type="dxa"/>
            <w:vAlign w:val="center"/>
          </w:tcPr>
          <w:p w14:paraId="49E20588">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&gt;0.5</w:t>
            </w:r>
          </w:p>
        </w:tc>
        <w:tc>
          <w:tcPr>
            <w:tcW w:w="2312" w:type="dxa"/>
            <w:vAlign w:val="center"/>
          </w:tcPr>
          <w:p w14:paraId="2ECC35A4">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&lt;8.5</w:t>
            </w:r>
          </w:p>
        </w:tc>
        <w:tc>
          <w:tcPr>
            <w:tcW w:w="1669" w:type="dxa"/>
            <w:vAlign w:val="center"/>
          </w:tcPr>
          <w:p w14:paraId="6FACEB40">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&lt;5</w:t>
            </w:r>
          </w:p>
        </w:tc>
      </w:tr>
      <w:tr w14:paraId="7E717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Align w:val="center"/>
          </w:tcPr>
          <w:p w14:paraId="3B2B561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弱碱化土壤</w:t>
            </w:r>
          </w:p>
        </w:tc>
        <w:tc>
          <w:tcPr>
            <w:tcW w:w="3596" w:type="dxa"/>
            <w:vAlign w:val="center"/>
          </w:tcPr>
          <w:p w14:paraId="1FC203B9">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0.5</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1.5</w:t>
            </w:r>
          </w:p>
        </w:tc>
        <w:tc>
          <w:tcPr>
            <w:tcW w:w="2312" w:type="dxa"/>
            <w:vAlign w:val="center"/>
          </w:tcPr>
          <w:p w14:paraId="6DD1037B">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8.5</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9.0</w:t>
            </w:r>
          </w:p>
        </w:tc>
        <w:tc>
          <w:tcPr>
            <w:tcW w:w="1669" w:type="dxa"/>
            <w:vAlign w:val="center"/>
          </w:tcPr>
          <w:p w14:paraId="1AC4E629">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5</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15</w:t>
            </w:r>
          </w:p>
        </w:tc>
      </w:tr>
      <w:tr w14:paraId="74BE97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Align w:val="center"/>
          </w:tcPr>
          <w:p w14:paraId="5B8F7261">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中碱化土壤</w:t>
            </w:r>
          </w:p>
        </w:tc>
        <w:tc>
          <w:tcPr>
            <w:tcW w:w="3596" w:type="dxa"/>
            <w:vAlign w:val="center"/>
          </w:tcPr>
          <w:p w14:paraId="6D590D22">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1.5</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2.0</w:t>
            </w:r>
          </w:p>
        </w:tc>
        <w:tc>
          <w:tcPr>
            <w:tcW w:w="2312" w:type="dxa"/>
            <w:vAlign w:val="center"/>
          </w:tcPr>
          <w:p w14:paraId="5AD3CACB">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9.0</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9.5</w:t>
            </w:r>
          </w:p>
        </w:tc>
        <w:tc>
          <w:tcPr>
            <w:tcW w:w="1669" w:type="dxa"/>
            <w:vAlign w:val="center"/>
          </w:tcPr>
          <w:p w14:paraId="223B84B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15</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30</w:t>
            </w:r>
          </w:p>
        </w:tc>
      </w:tr>
      <w:tr w14:paraId="71645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89" w:type="dxa"/>
            <w:vAlign w:val="center"/>
          </w:tcPr>
          <w:p w14:paraId="116D98D4">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强碱化土壤</w:t>
            </w:r>
          </w:p>
        </w:tc>
        <w:tc>
          <w:tcPr>
            <w:tcW w:w="3596" w:type="dxa"/>
            <w:vAlign w:val="center"/>
          </w:tcPr>
          <w:p w14:paraId="0C0C6F6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2.0</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3.0</w:t>
            </w:r>
          </w:p>
        </w:tc>
        <w:tc>
          <w:tcPr>
            <w:tcW w:w="2312" w:type="dxa"/>
            <w:vAlign w:val="center"/>
          </w:tcPr>
          <w:p w14:paraId="443354EC">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9.5</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10.0</w:t>
            </w:r>
          </w:p>
        </w:tc>
        <w:tc>
          <w:tcPr>
            <w:tcW w:w="1669" w:type="dxa"/>
            <w:vAlign w:val="center"/>
          </w:tcPr>
          <w:p w14:paraId="4DC471C9">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30</w:t>
            </w:r>
            <w:r>
              <w:rPr>
                <w:rFonts w:hint="default" w:ascii="Times New Roman" w:hAnsi="Times New Roman" w:cs="Times New Roman"/>
                <w:color w:val="auto"/>
                <w:kern w:val="0"/>
                <w:sz w:val="18"/>
                <w:szCs w:val="18"/>
                <w:highlight w:val="none"/>
              </w:rPr>
              <w:t>～</w:t>
            </w:r>
            <w:r>
              <w:rPr>
                <w:rFonts w:hint="default" w:ascii="Times New Roman" w:hAnsi="Times New Roman" w:cs="Times New Roman"/>
                <w:color w:val="auto"/>
                <w:kern w:val="0"/>
                <w:sz w:val="18"/>
                <w:szCs w:val="18"/>
                <w:highlight w:val="none"/>
                <w:lang w:bidi="ar"/>
              </w:rPr>
              <w:t>45</w:t>
            </w:r>
          </w:p>
        </w:tc>
      </w:tr>
      <w:tr w14:paraId="2F638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9" w:type="dxa"/>
            <w:vAlign w:val="center"/>
          </w:tcPr>
          <w:p w14:paraId="03805184">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碱      土</w:t>
            </w:r>
          </w:p>
        </w:tc>
        <w:tc>
          <w:tcPr>
            <w:tcW w:w="3596" w:type="dxa"/>
            <w:vAlign w:val="center"/>
          </w:tcPr>
          <w:p w14:paraId="4E2F8502">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&gt;3.0</w:t>
            </w:r>
          </w:p>
        </w:tc>
        <w:tc>
          <w:tcPr>
            <w:tcW w:w="2312" w:type="dxa"/>
            <w:vAlign w:val="center"/>
          </w:tcPr>
          <w:p w14:paraId="7F0F9795">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&gt;10.0</w:t>
            </w:r>
          </w:p>
        </w:tc>
        <w:tc>
          <w:tcPr>
            <w:tcW w:w="1669" w:type="dxa"/>
            <w:vAlign w:val="center"/>
          </w:tcPr>
          <w:p w14:paraId="09D20D19">
            <w:pPr>
              <w:keepNext w:val="0"/>
              <w:keepLines w:val="0"/>
              <w:pageBreakBefore w:val="0"/>
              <w:widowControl w:val="0"/>
              <w:kinsoku/>
              <w:wordWrap/>
              <w:overflowPunct/>
              <w:topLinePunct w:val="0"/>
              <w:autoSpaceDE w:val="0"/>
              <w:autoSpaceDN w:val="0"/>
              <w:bidi w:val="0"/>
              <w:adjustRightInd w:val="0"/>
              <w:snapToGrid/>
              <w:spacing w:line="240" w:lineRule="auto"/>
              <w:jc w:val="center"/>
              <w:textAlignment w:val="auto"/>
              <w:rPr>
                <w:rFonts w:hint="default" w:ascii="Times New Roman" w:hAnsi="Times New Roman" w:cs="Times New Roman"/>
                <w:color w:val="auto"/>
                <w:kern w:val="0"/>
                <w:sz w:val="18"/>
                <w:szCs w:val="18"/>
                <w:highlight w:val="none"/>
                <w:lang w:bidi="ar"/>
              </w:rPr>
            </w:pPr>
            <w:r>
              <w:rPr>
                <w:rFonts w:hint="default" w:ascii="Times New Roman" w:hAnsi="Times New Roman" w:cs="Times New Roman"/>
                <w:color w:val="auto"/>
                <w:kern w:val="0"/>
                <w:sz w:val="18"/>
                <w:szCs w:val="18"/>
                <w:highlight w:val="none"/>
                <w:lang w:bidi="ar"/>
              </w:rPr>
              <w:t>&gt;45</w:t>
            </w:r>
          </w:p>
        </w:tc>
      </w:tr>
    </w:tbl>
    <w:p w14:paraId="630F701B">
      <w:pPr>
        <w:pStyle w:val="25"/>
        <w:ind w:left="0" w:leftChars="0" w:firstLine="0" w:firstLineChars="0"/>
        <w:rPr>
          <w:rFonts w:hint="eastAsia"/>
          <w:color w:val="auto"/>
          <w:highlight w:val="none"/>
        </w:rPr>
      </w:pPr>
    </w:p>
    <w:p w14:paraId="652197FF">
      <w:pPr>
        <w:pStyle w:val="126"/>
        <w:numPr>
          <w:ilvl w:val="0"/>
          <w:numId w:val="0"/>
        </w:numPr>
        <w:spacing w:before="156" w:after="156"/>
        <w:ind w:leftChars="0"/>
        <w:jc w:val="both"/>
        <w:rPr>
          <w:rFonts w:hint="eastAsia"/>
          <w:color w:val="auto"/>
          <w:highlight w:val="none"/>
        </w:rPr>
      </w:pPr>
    </w:p>
    <w:p w14:paraId="281145A7">
      <w:pPr>
        <w:pStyle w:val="103"/>
        <w:rPr>
          <w:rFonts w:hint="eastAsia"/>
          <w:color w:val="auto"/>
          <w:highlight w:val="none"/>
        </w:rPr>
      </w:pPr>
    </w:p>
    <w:p w14:paraId="6A01F707">
      <w:pPr>
        <w:pStyle w:val="137"/>
        <w:rPr>
          <w:rFonts w:hint="eastAsia"/>
          <w:color w:val="auto"/>
          <w:highlight w:val="none"/>
        </w:rPr>
      </w:pPr>
    </w:p>
    <w:p w14:paraId="7D0F8145">
      <w:pPr>
        <w:pStyle w:val="75"/>
        <w:rPr>
          <w:rFonts w:hint="eastAsia"/>
          <w:color w:val="auto"/>
          <w:highlight w:val="none"/>
        </w:rPr>
      </w:pPr>
      <w:r>
        <w:rPr>
          <w:color w:val="auto"/>
          <w:highlight w:val="none"/>
        </w:rPr>
        <w:br w:type="textWrapping"/>
      </w:r>
      <w:bookmarkStart w:id="415" w:name="_Toc299889791"/>
      <w:bookmarkStart w:id="416" w:name="_Toc520823493"/>
      <w:bookmarkStart w:id="417" w:name="_Toc522140521"/>
      <w:r>
        <w:rPr>
          <w:rFonts w:hint="eastAsia"/>
          <w:color w:val="auto"/>
          <w:highlight w:val="none"/>
        </w:rPr>
        <w:t>（资料性附录）</w:t>
      </w:r>
      <w:r>
        <w:rPr>
          <w:color w:val="auto"/>
          <w:highlight w:val="none"/>
        </w:rPr>
        <w:br w:type="textWrapping"/>
      </w:r>
      <w:r>
        <w:rPr>
          <w:rFonts w:hint="eastAsia"/>
          <w:color w:val="auto"/>
          <w:highlight w:val="none"/>
        </w:rPr>
        <w:t>渗透系数的野外测定方法</w:t>
      </w:r>
      <w:bookmarkEnd w:id="415"/>
      <w:bookmarkEnd w:id="416"/>
      <w:bookmarkEnd w:id="417"/>
    </w:p>
    <w:p w14:paraId="761AB544">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hint="eastAsia"/>
          <w:color w:val="auto"/>
          <w:highlight w:val="none"/>
        </w:rPr>
      </w:pPr>
      <w:r>
        <w:rPr>
          <w:rFonts w:hint="eastAsia" w:ascii="宋体" w:hAnsi="宋体" w:eastAsia="宋体" w:cs="宋体"/>
          <w:b/>
          <w:bCs/>
          <w:color w:val="auto"/>
          <w:highlight w:val="none"/>
          <w:lang w:val="en-US" w:eastAsia="zh-CN"/>
        </w:rPr>
        <w:t>C</w:t>
      </w:r>
      <w:r>
        <w:rPr>
          <w:rFonts w:hint="eastAsia" w:ascii="宋体" w:hAnsi="宋体" w:eastAsia="宋体" w:cs="宋体"/>
          <w:b/>
          <w:bCs/>
          <w:color w:val="auto"/>
          <w:highlight w:val="none"/>
        </w:rPr>
        <w:t>.1</w:t>
      </w:r>
      <w:r>
        <w:rPr>
          <w:rFonts w:ascii="Times New Roman"/>
          <w:color w:val="auto"/>
          <w:highlight w:val="none"/>
        </w:rPr>
        <w:t xml:space="preserve"> 在农田排水设计中，宜用钻孔水位回升法现场测定渗透系数（又称水力传导度或土壤导水率），每平方公里不宜少于4个测点，钻孔水位回升法测定渗透系数如图</w:t>
      </w:r>
      <w:r>
        <w:rPr>
          <w:rFonts w:hint="eastAsia" w:ascii="宋体" w:hAnsi="宋体" w:eastAsia="宋体" w:cs="宋体"/>
          <w:color w:val="auto"/>
          <w:highlight w:val="none"/>
          <w:lang w:val="en-US" w:eastAsia="zh-CN"/>
        </w:rPr>
        <w:t>C</w:t>
      </w:r>
      <w:r>
        <w:rPr>
          <w:rFonts w:hint="eastAsia" w:ascii="宋体" w:hAnsi="宋体" w:eastAsia="宋体" w:cs="宋体"/>
          <w:color w:val="auto"/>
          <w:highlight w:val="none"/>
        </w:rPr>
        <w:t>.1</w:t>
      </w:r>
      <w:r>
        <w:rPr>
          <w:rFonts w:ascii="Times New Roman"/>
          <w:color w:val="auto"/>
          <w:highlight w:val="none"/>
        </w:rPr>
        <w:t>所示。</w:t>
      </w:r>
    </w:p>
    <w:p w14:paraId="562B8A26">
      <w:pPr>
        <w:autoSpaceDE w:val="0"/>
        <w:autoSpaceDN w:val="0"/>
        <w:adjustRightInd w:val="0"/>
        <w:snapToGrid w:val="0"/>
        <w:jc w:val="center"/>
        <w:rPr>
          <w:color w:val="auto"/>
          <w:highlight w:val="none"/>
        </w:rPr>
      </w:pPr>
      <w:r>
        <w:rPr>
          <w:color w:val="auto"/>
          <w:highlight w:val="none"/>
        </w:rPr>
        <w:object>
          <v:shape id="_x0000_i1039" o:spt="75" type="#_x0000_t75" style="height:153.5pt;width:198.65pt;" o:ole="t" filled="f" o:preferrelative="t" stroked="f" coordsize="21600,21600">
            <v:path/>
            <v:fill on="f" focussize="0,0"/>
            <v:stroke on="f"/>
            <v:imagedata r:id="rId41" o:title=""/>
            <o:lock v:ext="edit" aspectratio="f"/>
            <w10:wrap type="none"/>
            <w10:anchorlock/>
          </v:shape>
          <o:OLEObject Type="Embed" ProgID="Visio.Drawing.11" ShapeID="_x0000_i1039" DrawAspect="Content" ObjectID="_1468075739" r:id="rId40">
            <o:LockedField>false</o:LockedField>
          </o:OLEObject>
        </w:object>
      </w:r>
    </w:p>
    <w:p w14:paraId="467FAFF6">
      <w:pPr>
        <w:autoSpaceDE w:val="0"/>
        <w:autoSpaceDN w:val="0"/>
        <w:adjustRightInd w:val="0"/>
        <w:snapToGrid w:val="0"/>
        <w:jc w:val="center"/>
        <w:rPr>
          <w:rFonts w:hint="default" w:ascii="黑体" w:hAnsi="黑体" w:eastAsia="黑体" w:cs="黑体"/>
          <w:color w:val="auto"/>
          <w:sz w:val="18"/>
          <w:szCs w:val="18"/>
          <w:highlight w:val="none"/>
          <w:lang w:val="en-US" w:eastAsia="zh-CN"/>
        </w:rPr>
      </w:pPr>
      <w:r>
        <w:rPr>
          <w:rFonts w:hint="eastAsia" w:ascii="黑体" w:hAnsi="黑体" w:eastAsia="黑体" w:cs="黑体"/>
          <w:color w:val="auto"/>
          <w:sz w:val="18"/>
          <w:szCs w:val="18"/>
          <w:highlight w:val="none"/>
          <w:lang w:val="en-US" w:eastAsia="zh-CN"/>
        </w:rPr>
        <w:t>图 C.1 渗透系数测定</w:t>
      </w:r>
    </w:p>
    <w:p w14:paraId="562FB570">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hint="eastAsia" w:ascii="宋体" w:hAnsi="宋体" w:eastAsia="宋体" w:cs="宋体"/>
          <w:color w:val="auto"/>
          <w:highlight w:val="none"/>
        </w:rPr>
      </w:pPr>
      <w:r>
        <w:rPr>
          <w:rFonts w:hint="eastAsia" w:ascii="宋体" w:hAnsi="宋体" w:eastAsia="宋体" w:cs="宋体"/>
          <w:b/>
          <w:bCs/>
          <w:color w:val="auto"/>
          <w:highlight w:val="none"/>
          <w:lang w:val="en-US" w:eastAsia="zh-CN"/>
        </w:rPr>
        <w:t>C</w:t>
      </w:r>
      <w:r>
        <w:rPr>
          <w:rFonts w:hint="eastAsia" w:ascii="宋体" w:hAnsi="宋体" w:eastAsia="宋体" w:cs="宋体"/>
          <w:b/>
          <w:bCs/>
          <w:color w:val="auto"/>
          <w:highlight w:val="none"/>
        </w:rPr>
        <w:t>.2</w:t>
      </w:r>
      <w:r>
        <w:rPr>
          <w:rFonts w:hint="eastAsia" w:ascii="宋体" w:hAnsi="宋体" w:eastAsia="宋体" w:cs="宋体"/>
          <w:color w:val="auto"/>
          <w:highlight w:val="none"/>
        </w:rPr>
        <w:t xml:space="preserve"> 在预定地点用土钻打孔，孔径为8</w:t>
      </w:r>
      <w:r>
        <w:rPr>
          <w:rFonts w:hint="eastAsia" w:ascii="宋体" w:hAnsi="宋体" w:eastAsia="宋体" w:cs="宋体"/>
          <w:color w:val="auto"/>
          <w:szCs w:val="21"/>
          <w:highlight w:val="none"/>
        </w:rPr>
        <w:t>～</w:t>
      </w:r>
      <w:r>
        <w:rPr>
          <w:rFonts w:hint="eastAsia" w:ascii="宋体" w:hAnsi="宋体" w:eastAsia="宋体" w:cs="宋体"/>
          <w:color w:val="auto"/>
          <w:highlight w:val="none"/>
        </w:rPr>
        <w:t>10cm，孔深应低于地下水面60cm，待孔内水面稳定至原地下水位高程后，从孔中汲走一部分水，立即测定孔内下降后的水位回升速率，按式（</w:t>
      </w:r>
      <w:r>
        <w:rPr>
          <w:rFonts w:hint="eastAsia" w:ascii="宋体" w:hAnsi="宋体" w:eastAsia="宋体" w:cs="宋体"/>
          <w:color w:val="auto"/>
          <w:highlight w:val="none"/>
          <w:lang w:val="en-US" w:eastAsia="zh-CN"/>
        </w:rPr>
        <w:t>C</w:t>
      </w:r>
      <w:r>
        <w:rPr>
          <w:rFonts w:hint="eastAsia" w:ascii="宋体" w:hAnsi="宋体" w:eastAsia="宋体" w:cs="宋体"/>
          <w:color w:val="auto"/>
          <w:highlight w:val="none"/>
        </w:rPr>
        <w:t xml:space="preserve">.2-1）和表 </w:t>
      </w:r>
      <w:r>
        <w:rPr>
          <w:rFonts w:hint="eastAsia" w:ascii="宋体" w:hAnsi="宋体" w:eastAsia="宋体" w:cs="宋体"/>
          <w:color w:val="auto"/>
          <w:highlight w:val="none"/>
          <w:lang w:val="en-US" w:eastAsia="zh-CN"/>
        </w:rPr>
        <w:t>C</w:t>
      </w:r>
      <w:r>
        <w:rPr>
          <w:rFonts w:hint="eastAsia" w:ascii="宋体" w:hAnsi="宋体" w:eastAsia="宋体" w:cs="宋体"/>
          <w:color w:val="auto"/>
          <w:highlight w:val="none"/>
        </w:rPr>
        <w:t>.2-1计算渗透系数值，测定使用的工具与设备有土钻、汲水筒、透水网管和带浮子的测绳、标尺架及秒表。</w:t>
      </w:r>
    </w:p>
    <w:p w14:paraId="67F3A64C">
      <w:pPr>
        <w:pStyle w:val="108"/>
        <w:jc w:val="right"/>
        <w:rPr>
          <w:rFonts w:hint="eastAsia"/>
          <w:color w:val="auto"/>
          <w:highlight w:val="none"/>
          <w:lang w:eastAsia="zh-CN"/>
        </w:rPr>
      </w:pPr>
      <w:r>
        <w:rPr>
          <w:color w:val="auto"/>
          <w:position w:val="-24"/>
          <w:highlight w:val="none"/>
        </w:rPr>
        <w:object>
          <v:shape id="_x0000_i1040" o:spt="75" type="#_x0000_t75" style="height:25.8pt;width:42.4pt;" o:ole="t" filled="f" o:preferrelative="t" stroked="f" coordsize="21600,21600">
            <v:path/>
            <v:fill on="f" focussize="0,0"/>
            <v:stroke on="f"/>
            <v:imagedata r:id="rId43" o:title=""/>
            <o:lock v:ext="edit" aspectratio="t"/>
            <w10:wrap type="none"/>
            <w10:anchorlock/>
          </v:shape>
          <o:OLEObject Type="Embed" ProgID="Equation.KSEE3" ShapeID="_x0000_i1040" DrawAspect="Content" ObjectID="_1468075740" r:id="rId42">
            <o:LockedField>false</o:LockedField>
          </o:OLEObject>
        </w:object>
      </w:r>
      <w:r>
        <w:rPr>
          <w:color w:val="auto"/>
          <w:highlight w:val="none"/>
        </w:rPr>
        <w:tab/>
      </w:r>
      <w:r>
        <w:rPr>
          <w:rFonts w:hint="eastAsia"/>
          <w:color w:val="auto"/>
          <w:highlight w:val="none"/>
          <w:lang w:val="en-US" w:eastAsia="zh-CN"/>
        </w:rPr>
        <w:t xml:space="preserve">       </w:t>
      </w:r>
      <w:r>
        <w:rPr>
          <w:rFonts w:hint="eastAsia"/>
          <w:color w:val="auto"/>
          <w:highlight w:val="none"/>
          <w:lang w:eastAsia="zh-CN"/>
        </w:rPr>
        <w:t>（</w:t>
      </w:r>
      <w:r>
        <w:rPr>
          <w:rFonts w:hint="eastAsia"/>
          <w:color w:val="auto"/>
          <w:highlight w:val="none"/>
          <w:lang w:val="en-US" w:eastAsia="zh-CN"/>
        </w:rPr>
        <w:t>C</w:t>
      </w:r>
      <w:r>
        <w:rPr>
          <w:color w:val="auto"/>
          <w:highlight w:val="none"/>
        </w:rPr>
        <w:t>.2-</w:t>
      </w:r>
      <w:r>
        <w:rPr>
          <w:color w:val="auto"/>
          <w:highlight w:val="none"/>
        </w:rPr>
        <w:fldChar w:fldCharType="begin"/>
      </w:r>
      <w:r>
        <w:rPr>
          <w:color w:val="auto"/>
          <w:highlight w:val="none"/>
        </w:rPr>
        <w:instrText xml:space="preserve"> </w:instrText>
      </w:r>
      <w:r>
        <w:rPr>
          <w:rFonts w:hint="eastAsia"/>
          <w:color w:val="auto"/>
          <w:highlight w:val="none"/>
        </w:rPr>
        <w:instrText xml:space="preserve">seq 附录公式 \r 1</w:instrText>
      </w:r>
      <w:r>
        <w:rPr>
          <w:color w:val="auto"/>
          <w:highlight w:val="none"/>
        </w:rPr>
        <w:instrText xml:space="preserve"> </w:instrText>
      </w:r>
      <w:r>
        <w:rPr>
          <w:color w:val="auto"/>
          <w:highlight w:val="none"/>
        </w:rPr>
        <w:fldChar w:fldCharType="separate"/>
      </w:r>
      <w:r>
        <w:rPr>
          <w:color w:val="auto"/>
          <w:highlight w:val="none"/>
        </w:rPr>
        <w:t>1</w:t>
      </w:r>
      <w:r>
        <w:rPr>
          <w:color w:val="auto"/>
          <w:highlight w:val="none"/>
        </w:rPr>
        <w:fldChar w:fldCharType="end"/>
      </w:r>
      <w:r>
        <w:rPr>
          <w:rFonts w:hint="eastAsia"/>
          <w:color w:val="auto"/>
          <w:highlight w:val="none"/>
          <w:lang w:eastAsia="zh-CN"/>
        </w:rPr>
        <w:t>）</w:t>
      </w:r>
    </w:p>
    <w:p w14:paraId="6DF0755F">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highlight w:val="none"/>
        </w:rPr>
      </w:pPr>
      <w:r>
        <w:rPr>
          <w:rFonts w:ascii="Times New Roman"/>
          <w:color w:val="auto"/>
          <w:highlight w:val="none"/>
        </w:rPr>
        <w:t>式中</w:t>
      </w:r>
      <w:r>
        <w:rPr>
          <w:rFonts w:hint="eastAsia" w:ascii="Times New Roman"/>
          <w:color w:val="auto"/>
          <w:highlight w:val="none"/>
        </w:rPr>
        <w:t>：</w:t>
      </w:r>
    </w:p>
    <w:p w14:paraId="66622049">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ascii="Times New Roman"/>
          <w:color w:val="auto"/>
          <w:highlight w:val="none"/>
        </w:rPr>
      </w:pPr>
      <w:r>
        <w:rPr>
          <w:rFonts w:ascii="Times New Roman"/>
          <w:i/>
          <w:iCs/>
          <w:color w:val="auto"/>
          <w:highlight w:val="none"/>
        </w:rPr>
        <w:t>K</w:t>
      </w:r>
      <w:r>
        <w:rPr>
          <w:rFonts w:hint="eastAsia" w:ascii="Times New Roman"/>
          <w:color w:val="auto"/>
          <w:highlight w:val="none"/>
        </w:rPr>
        <w:t xml:space="preserve"> </w:t>
      </w:r>
      <w:r>
        <w:rPr>
          <w:rFonts w:ascii="Times New Roman"/>
          <w:color w:val="auto"/>
          <w:highlight w:val="none"/>
        </w:rPr>
        <w:t>——渗透系数，m/d；</w:t>
      </w:r>
    </w:p>
    <w:p w14:paraId="4559A0E0">
      <w:pPr>
        <w:pStyle w:val="25"/>
        <w:keepNext w:val="0"/>
        <w:keepLines w:val="0"/>
        <w:pageBreakBefore w:val="0"/>
        <w:widowControl/>
        <w:kinsoku/>
        <w:wordWrap/>
        <w:overflowPunct/>
        <w:topLinePunct w:val="0"/>
        <w:autoSpaceDE w:val="0"/>
        <w:autoSpaceDN w:val="0"/>
        <w:bidi w:val="0"/>
        <w:adjustRightInd/>
        <w:snapToGrid/>
        <w:spacing w:line="240" w:lineRule="auto"/>
        <w:ind w:firstLine="420" w:firstLineChars="200"/>
        <w:textAlignment w:val="auto"/>
        <w:rPr>
          <w:rFonts w:ascii="Times New Roman"/>
          <w:color w:val="auto"/>
          <w:highlight w:val="none"/>
        </w:rPr>
      </w:pPr>
      <w:r>
        <w:rPr>
          <w:rFonts w:ascii="Times New Roman"/>
          <w:color w:val="auto"/>
          <w:highlight w:val="none"/>
        </w:rPr>
        <w:t>Δ</w:t>
      </w:r>
      <w:r>
        <w:rPr>
          <w:rFonts w:ascii="Times New Roman"/>
          <w:i/>
          <w:iCs/>
          <w:color w:val="auto"/>
          <w:highlight w:val="none"/>
        </w:rPr>
        <w:t>h</w:t>
      </w:r>
      <w:r>
        <w:rPr>
          <w:rFonts w:ascii="Times New Roman"/>
          <w:color w:val="auto"/>
          <w:highlight w:val="none"/>
        </w:rPr>
        <w:t>/Δ</w:t>
      </w:r>
      <w:r>
        <w:rPr>
          <w:rFonts w:ascii="Times New Roman"/>
          <w:i/>
          <w:iCs/>
          <w:color w:val="auto"/>
          <w:highlight w:val="none"/>
        </w:rPr>
        <w:t>t</w:t>
      </w:r>
      <w:r>
        <w:rPr>
          <w:rFonts w:ascii="Times New Roman"/>
          <w:color w:val="auto"/>
          <w:highlight w:val="none"/>
        </w:rPr>
        <w:t>——孔内水位回升速率，cm/s；</w:t>
      </w:r>
    </w:p>
    <w:p w14:paraId="63942953">
      <w:pPr>
        <w:pStyle w:val="25"/>
        <w:keepNext w:val="0"/>
        <w:keepLines w:val="0"/>
        <w:pageBreakBefore w:val="0"/>
        <w:widowControl/>
        <w:kinsoku/>
        <w:wordWrap/>
        <w:overflowPunct/>
        <w:topLinePunct w:val="0"/>
        <w:autoSpaceDE w:val="0"/>
        <w:autoSpaceDN w:val="0"/>
        <w:bidi w:val="0"/>
        <w:adjustRightInd/>
        <w:snapToGrid/>
        <w:spacing w:line="240" w:lineRule="auto"/>
        <w:ind w:left="0" w:leftChars="0" w:firstLine="420" w:firstLineChars="200"/>
        <w:jc w:val="both"/>
        <w:textAlignment w:val="auto"/>
        <w:rPr>
          <w:rFonts w:hint="eastAsia" w:ascii="Times New Roman"/>
          <w:color w:val="auto"/>
          <w:highlight w:val="none"/>
        </w:rPr>
      </w:pPr>
      <w:r>
        <w:rPr>
          <w:rFonts w:ascii="Times New Roman"/>
          <w:i/>
          <w:iCs/>
          <w:color w:val="auto"/>
          <w:highlight w:val="none"/>
        </w:rPr>
        <w:t>C</w:t>
      </w:r>
      <w:r>
        <w:rPr>
          <w:rFonts w:ascii="Times New Roman"/>
          <w:color w:val="auto"/>
          <w:highlight w:val="none"/>
        </w:rPr>
        <w:t>——与钻孔尺寸、 孔底至不透水层表面深度和孔内水位变化有关的无因次系数，可从表</w:t>
      </w:r>
      <w:r>
        <w:rPr>
          <w:rFonts w:hint="eastAsia" w:ascii="宋体" w:hAnsi="宋体" w:eastAsia="宋体" w:cs="宋体"/>
          <w:color w:val="auto"/>
          <w:highlight w:val="none"/>
          <w:lang w:val="en-US" w:eastAsia="zh-CN"/>
        </w:rPr>
        <w:t>C</w:t>
      </w:r>
      <w:r>
        <w:rPr>
          <w:rFonts w:hint="eastAsia" w:ascii="宋体" w:hAnsi="宋体" w:eastAsia="宋体" w:cs="宋体"/>
          <w:color w:val="auto"/>
          <w:highlight w:val="none"/>
        </w:rPr>
        <w:t>.2-1</w:t>
      </w:r>
      <w:r>
        <w:rPr>
          <w:rFonts w:ascii="Times New Roman"/>
          <w:color w:val="auto"/>
          <w:highlight w:val="none"/>
        </w:rPr>
        <w:t>中査得。</w:t>
      </w:r>
    </w:p>
    <w:p w14:paraId="41329B1D">
      <w:pPr>
        <w:keepNext w:val="0"/>
        <w:keepLines w:val="0"/>
        <w:pageBreakBefore w:val="0"/>
        <w:kinsoku/>
        <w:wordWrap/>
        <w:overflowPunct/>
        <w:topLinePunct w:val="0"/>
        <w:autoSpaceDE/>
        <w:autoSpaceDN/>
        <w:bidi w:val="0"/>
        <w:adjustRightInd/>
        <w:snapToGrid/>
        <w:spacing w:line="240" w:lineRule="auto"/>
        <w:textAlignment w:val="auto"/>
        <w:rPr>
          <w:rFonts w:hint="eastAsia" w:ascii="宋体" w:hAnsi="宋体" w:eastAsia="宋体" w:cs="宋体"/>
          <w:color w:val="auto"/>
          <w:highlight w:val="none"/>
        </w:rPr>
      </w:pPr>
      <w:r>
        <w:rPr>
          <w:rFonts w:hint="eastAsia" w:ascii="宋体" w:hAnsi="宋体" w:eastAsia="宋体" w:cs="宋体"/>
          <w:b/>
          <w:bCs/>
          <w:color w:val="auto"/>
          <w:highlight w:val="none"/>
          <w:lang w:val="en-US" w:eastAsia="zh-CN"/>
        </w:rPr>
        <w:t>C</w:t>
      </w:r>
      <w:r>
        <w:rPr>
          <w:rFonts w:hint="eastAsia" w:ascii="宋体" w:hAnsi="宋体" w:eastAsia="宋体" w:cs="宋体"/>
          <w:b/>
          <w:bCs/>
          <w:color w:val="auto"/>
          <w:highlight w:val="none"/>
        </w:rPr>
        <w:t xml:space="preserve">.3 </w:t>
      </w:r>
      <w:r>
        <w:rPr>
          <w:rFonts w:hint="eastAsia" w:ascii="宋体" w:hAnsi="宋体" w:eastAsia="宋体" w:cs="宋体"/>
          <w:color w:val="auto"/>
          <w:highlight w:val="none"/>
        </w:rPr>
        <w:t>测定渗透系数时，应按以下要点操作</w:t>
      </w:r>
    </w:p>
    <w:p w14:paraId="210C62AC">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color w:val="auto"/>
          <w:highlight w:val="none"/>
        </w:rPr>
      </w:pPr>
      <w:r>
        <w:rPr>
          <w:rFonts w:hint="eastAsia" w:ascii="宋体" w:hAnsi="宋体" w:eastAsia="宋体" w:cs="宋体"/>
          <w:color w:val="auto"/>
          <w:highlight w:val="none"/>
        </w:rPr>
        <w:t>（1）钻孔过程中不宜使孔壁土壤结构变形，避免形成封闭层。为此，钻孔完成后应进行3次以上的汲水作业，以恢复孔壁土壤的透水性。对于土壤稳定性差的地区，应采用孔径相近的透水网管保护孔壁；</w:t>
      </w:r>
    </w:p>
    <w:p w14:paraId="6832D23A">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color w:val="auto"/>
          <w:highlight w:val="none"/>
        </w:rPr>
      </w:pPr>
      <w:r>
        <w:rPr>
          <w:rFonts w:hint="eastAsia" w:ascii="宋体" w:hAnsi="宋体" w:eastAsia="宋体" w:cs="宋体"/>
          <w:color w:val="auto"/>
          <w:highlight w:val="none"/>
        </w:rPr>
        <w:t>（2）待孔内水面稳定至原地下水位高程后，用汲水筒从孔内迅速提出一定水量，使水位降深40cm左右，立即从标尺架上放下带浮子的测绳，开始计时并读取初始地下水位测深；</w:t>
      </w:r>
    </w:p>
    <w:p w14:paraId="1C8A2E87">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宋体"/>
          <w:color w:val="auto"/>
          <w:highlight w:val="none"/>
        </w:rPr>
      </w:pPr>
      <w:r>
        <w:rPr>
          <w:rFonts w:hint="eastAsia" w:ascii="宋体" w:hAnsi="宋体" w:eastAsia="宋体" w:cs="宋体"/>
          <w:color w:val="auto"/>
          <w:highlight w:val="none"/>
        </w:rPr>
        <w:t>（3）量测孔内水位的回升速率，可按相同的间隔时段</w:t>
      </w:r>
      <w:r>
        <w:rPr>
          <w:rFonts w:hint="default" w:ascii="Times New Roman" w:hAnsi="Times New Roman" w:eastAsia="宋体" w:cs="Times New Roman"/>
          <w:color w:val="auto"/>
          <w:highlight w:val="none"/>
        </w:rPr>
        <w:t>Δ</w:t>
      </w:r>
      <w:r>
        <w:rPr>
          <w:rFonts w:hint="default" w:ascii="Times New Roman" w:hAnsi="Times New Roman" w:eastAsia="宋体" w:cs="Times New Roman"/>
          <w:i/>
          <w:iCs/>
          <w:color w:val="auto"/>
          <w:highlight w:val="none"/>
        </w:rPr>
        <w:t>t</w:t>
      </w:r>
      <w:r>
        <w:rPr>
          <w:rFonts w:hint="eastAsia" w:ascii="宋体" w:hAnsi="宋体" w:eastAsia="宋体" w:cs="宋体"/>
          <w:color w:val="auto"/>
          <w:highlight w:val="none"/>
        </w:rPr>
        <w:t>（s）连续量测各时段的水位回升值</w:t>
      </w:r>
      <w:r>
        <w:rPr>
          <w:rFonts w:ascii="Times New Roman"/>
          <w:color w:val="auto"/>
          <w:highlight w:val="none"/>
        </w:rPr>
        <w:t>Δ</w:t>
      </w:r>
      <w:r>
        <w:rPr>
          <w:rFonts w:ascii="Times New Roman"/>
          <w:i/>
          <w:iCs/>
          <w:color w:val="auto"/>
          <w:highlight w:val="none"/>
        </w:rPr>
        <w:t>h</w:t>
      </w:r>
      <w:r>
        <w:rPr>
          <w:rFonts w:hint="eastAsia" w:ascii="宋体" w:hAnsi="宋体" w:eastAsia="宋体" w:cs="宋体"/>
          <w:color w:val="auto"/>
          <w:highlight w:val="none"/>
        </w:rPr>
        <w:t>（cm）5次以上；</w:t>
      </w:r>
    </w:p>
    <w:p w14:paraId="6E1BA8DF">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left="315" w:leftChars="150" w:firstLine="105" w:firstLineChars="50"/>
        <w:textAlignment w:val="auto"/>
        <w:rPr>
          <w:rFonts w:hint="eastAsia" w:ascii="宋体" w:hAnsi="宋体" w:eastAsia="宋体" w:cs="宋体"/>
          <w:color w:val="auto"/>
          <w:highlight w:val="none"/>
        </w:rPr>
      </w:pPr>
      <w:r>
        <w:rPr>
          <w:rFonts w:hint="eastAsia" w:ascii="宋体" w:hAnsi="宋体" w:eastAsia="宋体" w:cs="宋体"/>
          <w:color w:val="auto"/>
          <w:highlight w:val="none"/>
        </w:rPr>
        <w:t>（4）随时注意浮子的上升不受孔壁摩擦的干扰，始终保持其灵活性；</w:t>
      </w:r>
    </w:p>
    <w:p w14:paraId="401C53AE">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left="315" w:leftChars="150" w:firstLine="105" w:firstLineChars="50"/>
        <w:textAlignment w:val="auto"/>
        <w:rPr>
          <w:rFonts w:hint="eastAsia" w:ascii="宋体" w:hAnsi="宋体" w:eastAsia="宋体" w:cs="宋体"/>
          <w:color w:val="auto"/>
          <w:highlight w:val="none"/>
        </w:rPr>
      </w:pPr>
      <w:r>
        <w:rPr>
          <w:rFonts w:hint="eastAsia" w:ascii="宋体" w:hAnsi="宋体" w:eastAsia="宋体" w:cs="宋体"/>
          <w:color w:val="auto"/>
          <w:highlight w:val="none"/>
        </w:rPr>
        <w:t>（5）当地下水位回升值累计达30cm左右时，一次测试结束；</w:t>
      </w:r>
    </w:p>
    <w:p w14:paraId="46F2C22D">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left="315" w:leftChars="150" w:firstLine="105" w:firstLineChars="50"/>
        <w:textAlignment w:val="auto"/>
        <w:rPr>
          <w:rFonts w:hint="eastAsia" w:ascii="宋体" w:hAnsi="宋体" w:eastAsia="宋体" w:cs="宋体"/>
          <w:color w:val="auto"/>
          <w:highlight w:val="none"/>
        </w:rPr>
      </w:pPr>
      <w:r>
        <w:rPr>
          <w:rFonts w:hint="eastAsia" w:ascii="宋体" w:hAnsi="宋体" w:eastAsia="宋体" w:cs="宋体"/>
          <w:color w:val="auto"/>
          <w:highlight w:val="none"/>
        </w:rPr>
        <w:t>（6）重复测试2～3次，取其平均渗透系数值。</w:t>
      </w:r>
    </w:p>
    <w:p w14:paraId="4E9F26C7">
      <w:pPr>
        <w:pStyle w:val="139"/>
        <w:keepNext w:val="0"/>
        <w:keepLines w:val="0"/>
        <w:pageBreakBefore w:val="0"/>
        <w:widowControl w:val="0"/>
        <w:numPr>
          <w:ilvl w:val="0"/>
          <w:numId w:val="0"/>
        </w:numPr>
        <w:kinsoku/>
        <w:wordWrap/>
        <w:overflowPunct/>
        <w:topLinePunct w:val="0"/>
        <w:autoSpaceDE/>
        <w:autoSpaceDN/>
        <w:bidi w:val="0"/>
        <w:adjustRightInd/>
        <w:snapToGrid/>
        <w:spacing w:before="60" w:beforeLines="0" w:after="60" w:afterLines="0" w:line="240" w:lineRule="auto"/>
        <w:textAlignment w:val="auto"/>
        <w:rPr>
          <w:color w:val="auto"/>
          <w:sz w:val="18"/>
          <w:szCs w:val="18"/>
          <w:highlight w:val="none"/>
        </w:rPr>
      </w:pPr>
    </w:p>
    <w:p w14:paraId="42E455CE">
      <w:pPr>
        <w:pStyle w:val="139"/>
        <w:keepNext w:val="0"/>
        <w:keepLines w:val="0"/>
        <w:pageBreakBefore w:val="0"/>
        <w:widowControl w:val="0"/>
        <w:numPr>
          <w:ilvl w:val="0"/>
          <w:numId w:val="0"/>
        </w:numPr>
        <w:kinsoku/>
        <w:wordWrap/>
        <w:overflowPunct/>
        <w:topLinePunct w:val="0"/>
        <w:autoSpaceDE/>
        <w:autoSpaceDN/>
        <w:bidi w:val="0"/>
        <w:adjustRightInd/>
        <w:snapToGrid/>
        <w:spacing w:before="60" w:beforeLines="0" w:after="60" w:afterLines="0" w:line="240" w:lineRule="auto"/>
        <w:textAlignment w:val="auto"/>
        <w:rPr>
          <w:color w:val="auto"/>
          <w:sz w:val="18"/>
          <w:szCs w:val="18"/>
          <w:highlight w:val="none"/>
        </w:rPr>
      </w:pPr>
    </w:p>
    <w:p w14:paraId="725FC6A7">
      <w:pPr>
        <w:pStyle w:val="139"/>
        <w:keepNext w:val="0"/>
        <w:keepLines w:val="0"/>
        <w:pageBreakBefore w:val="0"/>
        <w:widowControl w:val="0"/>
        <w:numPr>
          <w:ilvl w:val="0"/>
          <w:numId w:val="0"/>
        </w:numPr>
        <w:kinsoku/>
        <w:wordWrap/>
        <w:overflowPunct/>
        <w:topLinePunct w:val="0"/>
        <w:autoSpaceDE/>
        <w:autoSpaceDN/>
        <w:bidi w:val="0"/>
        <w:adjustRightInd/>
        <w:snapToGrid/>
        <w:spacing w:before="60" w:beforeLines="0" w:after="60" w:afterLines="0" w:line="240" w:lineRule="auto"/>
        <w:textAlignment w:val="auto"/>
        <w:rPr>
          <w:color w:val="auto"/>
          <w:sz w:val="18"/>
          <w:szCs w:val="18"/>
          <w:highlight w:val="none"/>
        </w:rPr>
      </w:pPr>
    </w:p>
    <w:p w14:paraId="6245DE60">
      <w:pPr>
        <w:pStyle w:val="139"/>
        <w:keepNext w:val="0"/>
        <w:keepLines w:val="0"/>
        <w:pageBreakBefore w:val="0"/>
        <w:widowControl w:val="0"/>
        <w:numPr>
          <w:ilvl w:val="0"/>
          <w:numId w:val="0"/>
        </w:numPr>
        <w:kinsoku/>
        <w:wordWrap/>
        <w:overflowPunct/>
        <w:topLinePunct w:val="0"/>
        <w:autoSpaceDE/>
        <w:autoSpaceDN/>
        <w:bidi w:val="0"/>
        <w:adjustRightInd/>
        <w:snapToGrid/>
        <w:spacing w:before="60" w:beforeLines="0" w:after="60" w:afterLines="0" w:line="240" w:lineRule="auto"/>
        <w:textAlignment w:val="auto"/>
        <w:rPr>
          <w:color w:val="auto"/>
          <w:sz w:val="18"/>
          <w:szCs w:val="18"/>
          <w:highlight w:val="none"/>
        </w:rPr>
      </w:pPr>
      <w:r>
        <w:rPr>
          <w:color w:val="auto"/>
          <w:sz w:val="18"/>
          <w:szCs w:val="18"/>
          <w:highlight w:val="none"/>
        </w:rPr>
        <w:t>表</w:t>
      </w:r>
      <w:r>
        <w:rPr>
          <w:rFonts w:hint="eastAsia"/>
          <w:color w:val="auto"/>
          <w:sz w:val="18"/>
          <w:szCs w:val="18"/>
          <w:highlight w:val="none"/>
          <w:lang w:val="en-US" w:eastAsia="zh-CN"/>
        </w:rPr>
        <w:t>C</w:t>
      </w:r>
      <w:r>
        <w:rPr>
          <w:color w:val="auto"/>
          <w:sz w:val="18"/>
          <w:szCs w:val="18"/>
          <w:highlight w:val="none"/>
        </w:rPr>
        <w:t xml:space="preserve">.2-1 </w:t>
      </w:r>
      <w:r>
        <w:rPr>
          <w:rFonts w:hint="eastAsia"/>
          <w:color w:val="auto"/>
          <w:sz w:val="18"/>
          <w:szCs w:val="18"/>
          <w:highlight w:val="none"/>
        </w:rPr>
        <w:t>钻</w:t>
      </w:r>
      <w:r>
        <w:rPr>
          <w:color w:val="auto"/>
          <w:sz w:val="18"/>
          <w:szCs w:val="18"/>
          <w:highlight w:val="none"/>
        </w:rPr>
        <w:t>孔水位回升法的系数C值</w:t>
      </w:r>
    </w:p>
    <w:tbl>
      <w:tblPr>
        <w:tblStyle w:val="34"/>
        <w:tblW w:w="9384"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15" w:type="dxa"/>
          <w:left w:w="15" w:type="dxa"/>
          <w:bottom w:w="15" w:type="dxa"/>
          <w:right w:w="15" w:type="dxa"/>
        </w:tblCellMar>
      </w:tblPr>
      <w:tblGrid>
        <w:gridCol w:w="1138"/>
        <w:gridCol w:w="1204"/>
        <w:gridCol w:w="771"/>
        <w:gridCol w:w="870"/>
        <w:gridCol w:w="771"/>
        <w:gridCol w:w="771"/>
        <w:gridCol w:w="770"/>
        <w:gridCol w:w="771"/>
        <w:gridCol w:w="771"/>
        <w:gridCol w:w="771"/>
        <w:gridCol w:w="776"/>
      </w:tblGrid>
      <w:tr w14:paraId="05C1DE2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restart"/>
            <w:vAlign w:val="center"/>
          </w:tcPr>
          <w:p w14:paraId="4F28B699">
            <w:pPr>
              <w:keepNext w:val="0"/>
              <w:keepLines w:val="0"/>
              <w:pageBreakBefore w:val="0"/>
              <w:widowControl/>
              <w:kinsoku/>
              <w:wordWrap/>
              <w:overflowPunct/>
              <w:topLinePunct w:val="0"/>
              <w:autoSpaceDE/>
              <w:autoSpaceDN/>
              <w:bidi w:val="0"/>
              <w:adjustRightInd/>
              <w:snapToGrid/>
              <w:jc w:val="center"/>
              <w:textAlignment w:val="center"/>
              <w:rPr>
                <w:rFonts w:hint="default" w:eastAsia="宋体"/>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t>H/r</w:t>
            </w:r>
          </w:p>
        </w:tc>
        <w:tc>
          <w:tcPr>
            <w:tcW w:w="1204" w:type="dxa"/>
            <w:vMerge w:val="restart"/>
            <w:vAlign w:val="center"/>
          </w:tcPr>
          <w:p w14:paraId="3E6879A3">
            <w:pPr>
              <w:keepNext w:val="0"/>
              <w:keepLines w:val="0"/>
              <w:pageBreakBefore w:val="0"/>
              <w:widowControl/>
              <w:kinsoku/>
              <w:wordWrap/>
              <w:overflowPunct/>
              <w:topLinePunct w:val="0"/>
              <w:autoSpaceDE/>
              <w:autoSpaceDN/>
              <w:bidi w:val="0"/>
              <w:adjustRightInd/>
              <w:snapToGrid/>
              <w:jc w:val="center"/>
              <w:textAlignment w:val="center"/>
              <w:rPr>
                <w:rFonts w:hint="default" w:eastAsia="宋体"/>
                <w:color w:val="auto"/>
                <w:sz w:val="18"/>
                <w:szCs w:val="18"/>
                <w:highlight w:val="none"/>
                <w:lang w:val="en-US" w:eastAsia="zh-CN"/>
              </w:rPr>
            </w:pPr>
            <w:r>
              <w:rPr>
                <w:rFonts w:hint="default" w:ascii="Times New Roman" w:hAnsi="Times New Roman" w:eastAsia="宋体" w:cs="Times New Roman"/>
                <w:color w:val="auto"/>
                <w:sz w:val="18"/>
                <w:szCs w:val="18"/>
                <w:highlight w:val="none"/>
                <w:lang w:val="en-US" w:eastAsia="zh-CN"/>
              </w:rPr>
              <w:fldChar w:fldCharType="begin"/>
            </w:r>
            <w:r>
              <w:rPr>
                <w:rFonts w:hint="default" w:ascii="Times New Roman" w:hAnsi="Times New Roman" w:eastAsia="宋体" w:cs="Times New Roman"/>
                <w:color w:val="auto"/>
                <w:sz w:val="18"/>
                <w:szCs w:val="18"/>
                <w:highlight w:val="none"/>
                <w:lang w:val="en-US" w:eastAsia="zh-CN"/>
              </w:rPr>
              <w:instrText xml:space="preserve"> EQ \* jc0 \* "Font:华文宋体" \* hps9 \o \ad(\s \up 8(_),h)</w:instrText>
            </w:r>
            <w:r>
              <w:rPr>
                <w:rFonts w:hint="default" w:ascii="Times New Roman" w:hAnsi="Times New Roman" w:eastAsia="宋体" w:cs="Times New Roman"/>
                <w:color w:val="auto"/>
                <w:sz w:val="18"/>
                <w:szCs w:val="18"/>
                <w:highlight w:val="none"/>
                <w:lang w:val="en-US" w:eastAsia="zh-CN"/>
              </w:rPr>
              <w:fldChar w:fldCharType="end"/>
            </w:r>
            <w:r>
              <w:rPr>
                <w:rFonts w:hint="default" w:ascii="Times New Roman" w:hAnsi="Times New Roman" w:eastAsia="宋体" w:cs="Times New Roman"/>
                <w:color w:val="auto"/>
                <w:sz w:val="18"/>
                <w:szCs w:val="18"/>
                <w:highlight w:val="none"/>
                <w:lang w:val="en-US" w:eastAsia="zh-CN"/>
              </w:rPr>
              <w:t>/H</w:t>
            </w:r>
          </w:p>
        </w:tc>
        <w:tc>
          <w:tcPr>
            <w:tcW w:w="7042" w:type="dxa"/>
            <w:gridSpan w:val="9"/>
            <w:vAlign w:val="center"/>
          </w:tcPr>
          <w:p w14:paraId="55A4DF13">
            <w:pPr>
              <w:keepNext w:val="0"/>
              <w:keepLines w:val="0"/>
              <w:pageBreakBefore w:val="0"/>
              <w:widowControl/>
              <w:kinsoku/>
              <w:wordWrap/>
              <w:overflowPunct/>
              <w:topLinePunct w:val="0"/>
              <w:autoSpaceDE/>
              <w:autoSpaceDN/>
              <w:bidi w:val="0"/>
              <w:adjustRightInd/>
              <w:snapToGrid/>
              <w:jc w:val="center"/>
              <w:textAlignment w:val="center"/>
              <w:rPr>
                <w:rFonts w:hint="default" w:eastAsia="宋体"/>
                <w:color w:val="auto"/>
                <w:sz w:val="18"/>
                <w:szCs w:val="18"/>
                <w:highlight w:val="none"/>
                <w:lang w:val="en-US" w:eastAsia="zh-CN"/>
              </w:rPr>
            </w:pPr>
            <w:r>
              <w:rPr>
                <w:rFonts w:hint="eastAsia"/>
                <w:color w:val="auto"/>
                <w:sz w:val="18"/>
                <w:szCs w:val="18"/>
                <w:highlight w:val="none"/>
                <w:lang w:val="en-US" w:eastAsia="zh-CN"/>
              </w:rPr>
              <w:t>S/H</w:t>
            </w:r>
          </w:p>
        </w:tc>
      </w:tr>
      <w:tr w14:paraId="437F7F5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2DF9801F">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Merge w:val="continue"/>
            <w:vAlign w:val="center"/>
          </w:tcPr>
          <w:p w14:paraId="1EB20D0F">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771" w:type="dxa"/>
            <w:vAlign w:val="center"/>
          </w:tcPr>
          <w:p w14:paraId="0A9A8FC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w:t>
            </w:r>
          </w:p>
        </w:tc>
        <w:tc>
          <w:tcPr>
            <w:tcW w:w="870" w:type="dxa"/>
            <w:vAlign w:val="center"/>
          </w:tcPr>
          <w:p w14:paraId="4ABE16C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0.05</w:t>
            </w:r>
          </w:p>
        </w:tc>
        <w:tc>
          <w:tcPr>
            <w:tcW w:w="771" w:type="dxa"/>
            <w:vAlign w:val="center"/>
          </w:tcPr>
          <w:p w14:paraId="30B5474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0.1</w:t>
            </w:r>
          </w:p>
        </w:tc>
        <w:tc>
          <w:tcPr>
            <w:tcW w:w="771" w:type="dxa"/>
            <w:vAlign w:val="center"/>
          </w:tcPr>
          <w:p w14:paraId="5EBDDA6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0.2</w:t>
            </w:r>
          </w:p>
        </w:tc>
        <w:tc>
          <w:tcPr>
            <w:tcW w:w="770" w:type="dxa"/>
            <w:vAlign w:val="center"/>
          </w:tcPr>
          <w:p w14:paraId="1D6F7F8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0.5</w:t>
            </w:r>
          </w:p>
        </w:tc>
        <w:tc>
          <w:tcPr>
            <w:tcW w:w="771" w:type="dxa"/>
            <w:vAlign w:val="center"/>
          </w:tcPr>
          <w:p w14:paraId="5AB2659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l</w:t>
            </w:r>
          </w:p>
        </w:tc>
        <w:tc>
          <w:tcPr>
            <w:tcW w:w="771" w:type="dxa"/>
            <w:vAlign w:val="center"/>
          </w:tcPr>
          <w:p w14:paraId="2F9777F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w:t>
            </w:r>
          </w:p>
        </w:tc>
        <w:tc>
          <w:tcPr>
            <w:tcW w:w="771" w:type="dxa"/>
            <w:vAlign w:val="center"/>
          </w:tcPr>
          <w:p w14:paraId="7E1B346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w:t>
            </w:r>
          </w:p>
        </w:tc>
        <w:tc>
          <w:tcPr>
            <w:tcW w:w="776" w:type="dxa"/>
            <w:vAlign w:val="center"/>
          </w:tcPr>
          <w:p w14:paraId="0A28ACD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l0</w:t>
            </w:r>
          </w:p>
        </w:tc>
      </w:tr>
      <w:tr w14:paraId="4EB796B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restart"/>
            <w:vAlign w:val="center"/>
          </w:tcPr>
          <w:p w14:paraId="44E4204F">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l</w:t>
            </w:r>
          </w:p>
        </w:tc>
        <w:tc>
          <w:tcPr>
            <w:tcW w:w="1204" w:type="dxa"/>
            <w:vAlign w:val="center"/>
          </w:tcPr>
          <w:p w14:paraId="52C24DD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w:t>
            </w:r>
          </w:p>
        </w:tc>
        <w:tc>
          <w:tcPr>
            <w:tcW w:w="771" w:type="dxa"/>
            <w:vAlign w:val="center"/>
          </w:tcPr>
          <w:p w14:paraId="1D77BA1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447</w:t>
            </w:r>
          </w:p>
        </w:tc>
        <w:tc>
          <w:tcPr>
            <w:tcW w:w="870" w:type="dxa"/>
            <w:vAlign w:val="center"/>
          </w:tcPr>
          <w:p w14:paraId="3E9807DF">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423</w:t>
            </w:r>
          </w:p>
        </w:tc>
        <w:tc>
          <w:tcPr>
            <w:tcW w:w="771" w:type="dxa"/>
            <w:vAlign w:val="center"/>
          </w:tcPr>
          <w:p w14:paraId="2C689BC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404</w:t>
            </w:r>
          </w:p>
        </w:tc>
        <w:tc>
          <w:tcPr>
            <w:tcW w:w="771" w:type="dxa"/>
            <w:vAlign w:val="center"/>
          </w:tcPr>
          <w:p w14:paraId="4CA86C9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375</w:t>
            </w:r>
          </w:p>
        </w:tc>
        <w:tc>
          <w:tcPr>
            <w:tcW w:w="770" w:type="dxa"/>
            <w:vAlign w:val="center"/>
          </w:tcPr>
          <w:p w14:paraId="094A93B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323</w:t>
            </w:r>
          </w:p>
        </w:tc>
        <w:tc>
          <w:tcPr>
            <w:tcW w:w="771" w:type="dxa"/>
            <w:vAlign w:val="center"/>
          </w:tcPr>
          <w:p w14:paraId="46383E6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286</w:t>
            </w:r>
          </w:p>
        </w:tc>
        <w:tc>
          <w:tcPr>
            <w:tcW w:w="771" w:type="dxa"/>
            <w:vAlign w:val="center"/>
          </w:tcPr>
          <w:p w14:paraId="787B375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264</w:t>
            </w:r>
          </w:p>
        </w:tc>
        <w:tc>
          <w:tcPr>
            <w:tcW w:w="771" w:type="dxa"/>
            <w:vAlign w:val="center"/>
          </w:tcPr>
          <w:p w14:paraId="7A4E3C0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255</w:t>
            </w:r>
          </w:p>
        </w:tc>
        <w:tc>
          <w:tcPr>
            <w:tcW w:w="776" w:type="dxa"/>
            <w:vAlign w:val="center"/>
          </w:tcPr>
          <w:p w14:paraId="0A025CE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251</w:t>
            </w:r>
          </w:p>
        </w:tc>
      </w:tr>
      <w:tr w14:paraId="710233E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422639C5">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62C7316F">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0.75</w:t>
            </w:r>
          </w:p>
        </w:tc>
        <w:tc>
          <w:tcPr>
            <w:tcW w:w="771" w:type="dxa"/>
            <w:vAlign w:val="center"/>
          </w:tcPr>
          <w:p w14:paraId="51E2496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469</w:t>
            </w:r>
          </w:p>
        </w:tc>
        <w:tc>
          <w:tcPr>
            <w:tcW w:w="870" w:type="dxa"/>
            <w:vAlign w:val="center"/>
          </w:tcPr>
          <w:p w14:paraId="017527D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450</w:t>
            </w:r>
          </w:p>
        </w:tc>
        <w:tc>
          <w:tcPr>
            <w:tcW w:w="771" w:type="dxa"/>
            <w:vAlign w:val="center"/>
          </w:tcPr>
          <w:p w14:paraId="4B3AD70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434</w:t>
            </w:r>
          </w:p>
        </w:tc>
        <w:tc>
          <w:tcPr>
            <w:tcW w:w="771" w:type="dxa"/>
            <w:vAlign w:val="center"/>
          </w:tcPr>
          <w:p w14:paraId="0317671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408</w:t>
            </w:r>
          </w:p>
        </w:tc>
        <w:tc>
          <w:tcPr>
            <w:tcW w:w="770" w:type="dxa"/>
            <w:vAlign w:val="center"/>
          </w:tcPr>
          <w:p w14:paraId="46DC70B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360</w:t>
            </w:r>
          </w:p>
        </w:tc>
        <w:tc>
          <w:tcPr>
            <w:tcW w:w="771" w:type="dxa"/>
            <w:vAlign w:val="center"/>
          </w:tcPr>
          <w:p w14:paraId="65734EE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324</w:t>
            </w:r>
          </w:p>
        </w:tc>
        <w:tc>
          <w:tcPr>
            <w:tcW w:w="771" w:type="dxa"/>
            <w:vAlign w:val="center"/>
          </w:tcPr>
          <w:p w14:paraId="41E9F1B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303</w:t>
            </w:r>
          </w:p>
        </w:tc>
        <w:tc>
          <w:tcPr>
            <w:tcW w:w="771" w:type="dxa"/>
            <w:vAlign w:val="center"/>
          </w:tcPr>
          <w:p w14:paraId="3872129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292</w:t>
            </w:r>
          </w:p>
        </w:tc>
        <w:tc>
          <w:tcPr>
            <w:tcW w:w="776" w:type="dxa"/>
            <w:vAlign w:val="center"/>
          </w:tcPr>
          <w:p w14:paraId="18CBA3E4">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291</w:t>
            </w:r>
          </w:p>
        </w:tc>
      </w:tr>
      <w:tr w14:paraId="2D802C1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52B12BD8">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35AFDA3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0.5</w:t>
            </w:r>
          </w:p>
        </w:tc>
        <w:tc>
          <w:tcPr>
            <w:tcW w:w="771" w:type="dxa"/>
            <w:vAlign w:val="center"/>
          </w:tcPr>
          <w:p w14:paraId="71E8186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555</w:t>
            </w:r>
          </w:p>
        </w:tc>
        <w:tc>
          <w:tcPr>
            <w:tcW w:w="870" w:type="dxa"/>
            <w:vAlign w:val="center"/>
          </w:tcPr>
          <w:p w14:paraId="1CAB584C">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537</w:t>
            </w:r>
          </w:p>
        </w:tc>
        <w:tc>
          <w:tcPr>
            <w:tcW w:w="771" w:type="dxa"/>
            <w:vAlign w:val="center"/>
          </w:tcPr>
          <w:p w14:paraId="3B829140">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522</w:t>
            </w:r>
          </w:p>
        </w:tc>
        <w:tc>
          <w:tcPr>
            <w:tcW w:w="771" w:type="dxa"/>
            <w:vAlign w:val="center"/>
          </w:tcPr>
          <w:p w14:paraId="53132A0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497</w:t>
            </w:r>
          </w:p>
        </w:tc>
        <w:tc>
          <w:tcPr>
            <w:tcW w:w="770" w:type="dxa"/>
            <w:vAlign w:val="center"/>
          </w:tcPr>
          <w:p w14:paraId="55E8075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449</w:t>
            </w:r>
          </w:p>
        </w:tc>
        <w:tc>
          <w:tcPr>
            <w:tcW w:w="771" w:type="dxa"/>
            <w:vAlign w:val="center"/>
          </w:tcPr>
          <w:p w14:paraId="3C252714">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411</w:t>
            </w:r>
          </w:p>
        </w:tc>
        <w:tc>
          <w:tcPr>
            <w:tcW w:w="771" w:type="dxa"/>
            <w:vAlign w:val="center"/>
          </w:tcPr>
          <w:p w14:paraId="4751881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386</w:t>
            </w:r>
          </w:p>
        </w:tc>
        <w:tc>
          <w:tcPr>
            <w:tcW w:w="771" w:type="dxa"/>
            <w:vAlign w:val="center"/>
          </w:tcPr>
          <w:p w14:paraId="636EC11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380</w:t>
            </w:r>
          </w:p>
        </w:tc>
        <w:tc>
          <w:tcPr>
            <w:tcW w:w="776" w:type="dxa"/>
            <w:vAlign w:val="center"/>
          </w:tcPr>
          <w:p w14:paraId="1022DF7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379</w:t>
            </w:r>
          </w:p>
        </w:tc>
      </w:tr>
      <w:tr w14:paraId="1608F44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restart"/>
            <w:vAlign w:val="center"/>
          </w:tcPr>
          <w:p w14:paraId="6E17BAE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w:t>
            </w:r>
          </w:p>
        </w:tc>
        <w:tc>
          <w:tcPr>
            <w:tcW w:w="1204" w:type="dxa"/>
            <w:vAlign w:val="center"/>
          </w:tcPr>
          <w:p w14:paraId="04AA5C1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w:t>
            </w:r>
          </w:p>
        </w:tc>
        <w:tc>
          <w:tcPr>
            <w:tcW w:w="771" w:type="dxa"/>
            <w:vAlign w:val="center"/>
          </w:tcPr>
          <w:p w14:paraId="4CFD193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186</w:t>
            </w:r>
          </w:p>
        </w:tc>
        <w:tc>
          <w:tcPr>
            <w:tcW w:w="870" w:type="dxa"/>
            <w:vAlign w:val="center"/>
          </w:tcPr>
          <w:p w14:paraId="5CACF78A">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176</w:t>
            </w:r>
          </w:p>
        </w:tc>
        <w:tc>
          <w:tcPr>
            <w:tcW w:w="771" w:type="dxa"/>
            <w:vAlign w:val="center"/>
          </w:tcPr>
          <w:p w14:paraId="3998D25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167</w:t>
            </w:r>
          </w:p>
        </w:tc>
        <w:tc>
          <w:tcPr>
            <w:tcW w:w="771" w:type="dxa"/>
            <w:vAlign w:val="center"/>
          </w:tcPr>
          <w:p w14:paraId="171830A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154</w:t>
            </w:r>
          </w:p>
        </w:tc>
        <w:tc>
          <w:tcPr>
            <w:tcW w:w="770" w:type="dxa"/>
            <w:vAlign w:val="center"/>
          </w:tcPr>
          <w:p w14:paraId="116B55A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134</w:t>
            </w:r>
          </w:p>
        </w:tc>
        <w:tc>
          <w:tcPr>
            <w:tcW w:w="771" w:type="dxa"/>
            <w:vAlign w:val="center"/>
          </w:tcPr>
          <w:p w14:paraId="5EB8657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123</w:t>
            </w:r>
          </w:p>
        </w:tc>
        <w:tc>
          <w:tcPr>
            <w:tcW w:w="771" w:type="dxa"/>
            <w:vAlign w:val="center"/>
          </w:tcPr>
          <w:p w14:paraId="44642EF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1l8</w:t>
            </w:r>
          </w:p>
        </w:tc>
        <w:tc>
          <w:tcPr>
            <w:tcW w:w="771" w:type="dxa"/>
            <w:vAlign w:val="center"/>
          </w:tcPr>
          <w:p w14:paraId="4DECEC20">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1l6</w:t>
            </w:r>
          </w:p>
        </w:tc>
        <w:tc>
          <w:tcPr>
            <w:tcW w:w="776" w:type="dxa"/>
            <w:vAlign w:val="center"/>
          </w:tcPr>
          <w:p w14:paraId="04ECA314">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115</w:t>
            </w:r>
          </w:p>
        </w:tc>
      </w:tr>
      <w:tr w14:paraId="2CA454E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1D674470">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2F41C4F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0.75</w:t>
            </w:r>
          </w:p>
        </w:tc>
        <w:tc>
          <w:tcPr>
            <w:tcW w:w="771" w:type="dxa"/>
            <w:vAlign w:val="center"/>
          </w:tcPr>
          <w:p w14:paraId="7F6ACF5F">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196</w:t>
            </w:r>
          </w:p>
        </w:tc>
        <w:tc>
          <w:tcPr>
            <w:tcW w:w="870" w:type="dxa"/>
            <w:vAlign w:val="center"/>
          </w:tcPr>
          <w:p w14:paraId="69518CC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l87</w:t>
            </w:r>
          </w:p>
        </w:tc>
        <w:tc>
          <w:tcPr>
            <w:tcW w:w="771" w:type="dxa"/>
            <w:vAlign w:val="center"/>
          </w:tcPr>
          <w:p w14:paraId="34A3D4C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179</w:t>
            </w:r>
          </w:p>
        </w:tc>
        <w:tc>
          <w:tcPr>
            <w:tcW w:w="771" w:type="dxa"/>
            <w:vAlign w:val="center"/>
          </w:tcPr>
          <w:p w14:paraId="06DAFF8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168</w:t>
            </w:r>
          </w:p>
        </w:tc>
        <w:tc>
          <w:tcPr>
            <w:tcW w:w="770" w:type="dxa"/>
            <w:vAlign w:val="center"/>
          </w:tcPr>
          <w:p w14:paraId="306115B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149</w:t>
            </w:r>
          </w:p>
        </w:tc>
        <w:tc>
          <w:tcPr>
            <w:tcW w:w="771" w:type="dxa"/>
            <w:vAlign w:val="center"/>
          </w:tcPr>
          <w:p w14:paraId="1DDB031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138</w:t>
            </w:r>
          </w:p>
        </w:tc>
        <w:tc>
          <w:tcPr>
            <w:tcW w:w="771" w:type="dxa"/>
            <w:vAlign w:val="center"/>
          </w:tcPr>
          <w:p w14:paraId="063078B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133</w:t>
            </w:r>
          </w:p>
        </w:tc>
        <w:tc>
          <w:tcPr>
            <w:tcW w:w="771" w:type="dxa"/>
            <w:vAlign w:val="center"/>
          </w:tcPr>
          <w:p w14:paraId="66DB82D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131</w:t>
            </w:r>
          </w:p>
        </w:tc>
        <w:tc>
          <w:tcPr>
            <w:tcW w:w="776" w:type="dxa"/>
            <w:vAlign w:val="center"/>
          </w:tcPr>
          <w:p w14:paraId="3EA23E1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131</w:t>
            </w:r>
          </w:p>
        </w:tc>
      </w:tr>
      <w:tr w14:paraId="0446C77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4A7316BD">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7A4708B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0.5</w:t>
            </w:r>
          </w:p>
        </w:tc>
        <w:tc>
          <w:tcPr>
            <w:tcW w:w="771" w:type="dxa"/>
            <w:vAlign w:val="center"/>
          </w:tcPr>
          <w:p w14:paraId="1F93C09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234</w:t>
            </w:r>
          </w:p>
        </w:tc>
        <w:tc>
          <w:tcPr>
            <w:tcW w:w="870" w:type="dxa"/>
            <w:vAlign w:val="center"/>
          </w:tcPr>
          <w:p w14:paraId="6E6297E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225</w:t>
            </w:r>
          </w:p>
        </w:tc>
        <w:tc>
          <w:tcPr>
            <w:tcW w:w="771" w:type="dxa"/>
            <w:vAlign w:val="center"/>
          </w:tcPr>
          <w:p w14:paraId="2983C14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218</w:t>
            </w:r>
          </w:p>
        </w:tc>
        <w:tc>
          <w:tcPr>
            <w:tcW w:w="771" w:type="dxa"/>
            <w:vAlign w:val="center"/>
          </w:tcPr>
          <w:p w14:paraId="7AFB43A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207</w:t>
            </w:r>
          </w:p>
        </w:tc>
        <w:tc>
          <w:tcPr>
            <w:tcW w:w="770" w:type="dxa"/>
            <w:vAlign w:val="center"/>
          </w:tcPr>
          <w:p w14:paraId="0959E65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188</w:t>
            </w:r>
          </w:p>
        </w:tc>
        <w:tc>
          <w:tcPr>
            <w:tcW w:w="771" w:type="dxa"/>
            <w:vAlign w:val="center"/>
          </w:tcPr>
          <w:p w14:paraId="363E340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175</w:t>
            </w:r>
          </w:p>
        </w:tc>
        <w:tc>
          <w:tcPr>
            <w:tcW w:w="771" w:type="dxa"/>
            <w:vAlign w:val="center"/>
          </w:tcPr>
          <w:p w14:paraId="594E2B7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169</w:t>
            </w:r>
          </w:p>
        </w:tc>
        <w:tc>
          <w:tcPr>
            <w:tcW w:w="771" w:type="dxa"/>
            <w:vAlign w:val="center"/>
          </w:tcPr>
          <w:p w14:paraId="2B6FB9C0">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167</w:t>
            </w:r>
          </w:p>
        </w:tc>
        <w:tc>
          <w:tcPr>
            <w:tcW w:w="776" w:type="dxa"/>
            <w:vAlign w:val="center"/>
          </w:tcPr>
          <w:p w14:paraId="0B2DA98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167</w:t>
            </w:r>
          </w:p>
        </w:tc>
      </w:tr>
      <w:tr w14:paraId="71093B9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restart"/>
            <w:vAlign w:val="center"/>
          </w:tcPr>
          <w:p w14:paraId="6B63B33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w:t>
            </w:r>
          </w:p>
        </w:tc>
        <w:tc>
          <w:tcPr>
            <w:tcW w:w="1204" w:type="dxa"/>
            <w:vAlign w:val="center"/>
          </w:tcPr>
          <w:p w14:paraId="159EEB8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w:t>
            </w:r>
          </w:p>
        </w:tc>
        <w:tc>
          <w:tcPr>
            <w:tcW w:w="771" w:type="dxa"/>
            <w:vAlign w:val="center"/>
          </w:tcPr>
          <w:p w14:paraId="0E95A054">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51.8</w:t>
            </w:r>
          </w:p>
        </w:tc>
        <w:tc>
          <w:tcPr>
            <w:tcW w:w="870" w:type="dxa"/>
            <w:vAlign w:val="center"/>
          </w:tcPr>
          <w:p w14:paraId="042A7D0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48.6</w:t>
            </w:r>
          </w:p>
        </w:tc>
        <w:tc>
          <w:tcPr>
            <w:tcW w:w="771" w:type="dxa"/>
            <w:vAlign w:val="center"/>
          </w:tcPr>
          <w:p w14:paraId="400B6B6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46.2</w:t>
            </w:r>
          </w:p>
        </w:tc>
        <w:tc>
          <w:tcPr>
            <w:tcW w:w="771" w:type="dxa"/>
            <w:vAlign w:val="center"/>
          </w:tcPr>
          <w:p w14:paraId="4E43C04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42.8</w:t>
            </w:r>
          </w:p>
        </w:tc>
        <w:tc>
          <w:tcPr>
            <w:tcW w:w="770" w:type="dxa"/>
            <w:vAlign w:val="center"/>
          </w:tcPr>
          <w:p w14:paraId="2F94CBD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38.7</w:t>
            </w:r>
          </w:p>
        </w:tc>
        <w:tc>
          <w:tcPr>
            <w:tcW w:w="771" w:type="dxa"/>
            <w:vAlign w:val="center"/>
          </w:tcPr>
          <w:p w14:paraId="3463BB7A">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36.9</w:t>
            </w:r>
          </w:p>
        </w:tc>
        <w:tc>
          <w:tcPr>
            <w:tcW w:w="771" w:type="dxa"/>
            <w:vAlign w:val="center"/>
          </w:tcPr>
          <w:p w14:paraId="7A58F31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36.1</w:t>
            </w:r>
          </w:p>
        </w:tc>
        <w:tc>
          <w:tcPr>
            <w:tcW w:w="771" w:type="dxa"/>
            <w:vAlign w:val="center"/>
          </w:tcPr>
          <w:p w14:paraId="55026E4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35.8</w:t>
            </w:r>
          </w:p>
        </w:tc>
        <w:tc>
          <w:tcPr>
            <w:tcW w:w="776" w:type="dxa"/>
            <w:vAlign w:val="center"/>
          </w:tcPr>
          <w:p w14:paraId="495FCA3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35.8</w:t>
            </w:r>
          </w:p>
        </w:tc>
      </w:tr>
      <w:tr w14:paraId="60ED2B7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013F3061">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2A22CBF0">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0.75</w:t>
            </w:r>
          </w:p>
        </w:tc>
        <w:tc>
          <w:tcPr>
            <w:tcW w:w="771" w:type="dxa"/>
            <w:vAlign w:val="center"/>
          </w:tcPr>
          <w:p w14:paraId="400D326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54.8</w:t>
            </w:r>
          </w:p>
        </w:tc>
        <w:tc>
          <w:tcPr>
            <w:tcW w:w="870" w:type="dxa"/>
            <w:vAlign w:val="center"/>
          </w:tcPr>
          <w:p w14:paraId="7642076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52</w:t>
            </w:r>
          </w:p>
        </w:tc>
        <w:tc>
          <w:tcPr>
            <w:tcW w:w="771" w:type="dxa"/>
            <w:vAlign w:val="center"/>
          </w:tcPr>
          <w:p w14:paraId="7DC8D9CF">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49.9</w:t>
            </w:r>
          </w:p>
        </w:tc>
        <w:tc>
          <w:tcPr>
            <w:tcW w:w="771" w:type="dxa"/>
            <w:vAlign w:val="center"/>
          </w:tcPr>
          <w:p w14:paraId="268A15E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46.8</w:t>
            </w:r>
          </w:p>
        </w:tc>
        <w:tc>
          <w:tcPr>
            <w:tcW w:w="770" w:type="dxa"/>
            <w:vAlign w:val="center"/>
          </w:tcPr>
          <w:p w14:paraId="5863846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42.8</w:t>
            </w:r>
          </w:p>
        </w:tc>
        <w:tc>
          <w:tcPr>
            <w:tcW w:w="771" w:type="dxa"/>
            <w:vAlign w:val="center"/>
          </w:tcPr>
          <w:p w14:paraId="75E81C94">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41</w:t>
            </w:r>
          </w:p>
        </w:tc>
        <w:tc>
          <w:tcPr>
            <w:tcW w:w="771" w:type="dxa"/>
            <w:vAlign w:val="center"/>
          </w:tcPr>
          <w:p w14:paraId="423F4C2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40.2</w:t>
            </w:r>
          </w:p>
        </w:tc>
        <w:tc>
          <w:tcPr>
            <w:tcW w:w="771" w:type="dxa"/>
            <w:vAlign w:val="center"/>
          </w:tcPr>
          <w:p w14:paraId="3C60312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40</w:t>
            </w:r>
          </w:p>
        </w:tc>
        <w:tc>
          <w:tcPr>
            <w:tcW w:w="776" w:type="dxa"/>
            <w:vAlign w:val="center"/>
          </w:tcPr>
          <w:p w14:paraId="2744583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10</w:t>
            </w:r>
          </w:p>
        </w:tc>
      </w:tr>
      <w:tr w14:paraId="45D82A4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1B71AD07">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764D0E3C">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0.5</w:t>
            </w:r>
          </w:p>
        </w:tc>
        <w:tc>
          <w:tcPr>
            <w:tcW w:w="771" w:type="dxa"/>
            <w:vAlign w:val="center"/>
          </w:tcPr>
          <w:p w14:paraId="2135118C">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66.1</w:t>
            </w:r>
          </w:p>
        </w:tc>
        <w:tc>
          <w:tcPr>
            <w:tcW w:w="870" w:type="dxa"/>
            <w:vAlign w:val="center"/>
          </w:tcPr>
          <w:p w14:paraId="109C82F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63.4</w:t>
            </w:r>
          </w:p>
        </w:tc>
        <w:tc>
          <w:tcPr>
            <w:tcW w:w="771" w:type="dxa"/>
            <w:vAlign w:val="center"/>
          </w:tcPr>
          <w:p w14:paraId="08BD6E9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61.3</w:t>
            </w:r>
          </w:p>
        </w:tc>
        <w:tc>
          <w:tcPr>
            <w:tcW w:w="771" w:type="dxa"/>
            <w:vAlign w:val="center"/>
          </w:tcPr>
          <w:p w14:paraId="23C8193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58.1</w:t>
            </w:r>
          </w:p>
        </w:tc>
        <w:tc>
          <w:tcPr>
            <w:tcW w:w="770" w:type="dxa"/>
            <w:vAlign w:val="center"/>
          </w:tcPr>
          <w:p w14:paraId="51391FE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53.9</w:t>
            </w:r>
          </w:p>
        </w:tc>
        <w:tc>
          <w:tcPr>
            <w:tcW w:w="771" w:type="dxa"/>
            <w:vAlign w:val="center"/>
          </w:tcPr>
          <w:p w14:paraId="0879A26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51.9</w:t>
            </w:r>
          </w:p>
        </w:tc>
        <w:tc>
          <w:tcPr>
            <w:tcW w:w="771" w:type="dxa"/>
            <w:vAlign w:val="center"/>
          </w:tcPr>
          <w:p w14:paraId="37E2F88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51</w:t>
            </w:r>
          </w:p>
        </w:tc>
        <w:tc>
          <w:tcPr>
            <w:tcW w:w="771" w:type="dxa"/>
            <w:vAlign w:val="center"/>
          </w:tcPr>
          <w:p w14:paraId="5B8BB0A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50.7</w:t>
            </w:r>
          </w:p>
        </w:tc>
        <w:tc>
          <w:tcPr>
            <w:tcW w:w="776" w:type="dxa"/>
            <w:vAlign w:val="center"/>
          </w:tcPr>
          <w:p w14:paraId="5997335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50.7</w:t>
            </w:r>
          </w:p>
        </w:tc>
      </w:tr>
      <w:tr w14:paraId="2377404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restart"/>
            <w:vAlign w:val="center"/>
          </w:tcPr>
          <w:p w14:paraId="512BFDC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10</w:t>
            </w:r>
          </w:p>
        </w:tc>
        <w:tc>
          <w:tcPr>
            <w:tcW w:w="1204" w:type="dxa"/>
            <w:vAlign w:val="center"/>
          </w:tcPr>
          <w:p w14:paraId="5125E6C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w:t>
            </w:r>
          </w:p>
        </w:tc>
        <w:tc>
          <w:tcPr>
            <w:tcW w:w="771" w:type="dxa"/>
            <w:vAlign w:val="center"/>
          </w:tcPr>
          <w:p w14:paraId="3A5006BA">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l8.1</w:t>
            </w:r>
          </w:p>
        </w:tc>
        <w:tc>
          <w:tcPr>
            <w:tcW w:w="870" w:type="dxa"/>
            <w:vAlign w:val="center"/>
          </w:tcPr>
          <w:p w14:paraId="4E6115EF">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16.9</w:t>
            </w:r>
          </w:p>
        </w:tc>
        <w:tc>
          <w:tcPr>
            <w:tcW w:w="771" w:type="dxa"/>
            <w:vAlign w:val="center"/>
          </w:tcPr>
          <w:p w14:paraId="108AB13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16.1</w:t>
            </w:r>
          </w:p>
        </w:tc>
        <w:tc>
          <w:tcPr>
            <w:tcW w:w="771" w:type="dxa"/>
            <w:vAlign w:val="center"/>
          </w:tcPr>
          <w:p w14:paraId="13EFDC2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15.1</w:t>
            </w:r>
          </w:p>
        </w:tc>
        <w:tc>
          <w:tcPr>
            <w:tcW w:w="770" w:type="dxa"/>
            <w:vAlign w:val="center"/>
          </w:tcPr>
          <w:p w14:paraId="5A03E66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14.1</w:t>
            </w:r>
          </w:p>
        </w:tc>
        <w:tc>
          <w:tcPr>
            <w:tcW w:w="771" w:type="dxa"/>
            <w:vAlign w:val="center"/>
          </w:tcPr>
          <w:p w14:paraId="2FF538A0">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13.6</w:t>
            </w:r>
          </w:p>
        </w:tc>
        <w:tc>
          <w:tcPr>
            <w:tcW w:w="771" w:type="dxa"/>
            <w:vAlign w:val="center"/>
          </w:tcPr>
          <w:p w14:paraId="6776E3B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13.4</w:t>
            </w:r>
          </w:p>
        </w:tc>
        <w:tc>
          <w:tcPr>
            <w:tcW w:w="771" w:type="dxa"/>
            <w:vAlign w:val="center"/>
          </w:tcPr>
          <w:p w14:paraId="15543FC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13.4</w:t>
            </w:r>
          </w:p>
        </w:tc>
        <w:tc>
          <w:tcPr>
            <w:tcW w:w="776" w:type="dxa"/>
            <w:vAlign w:val="center"/>
          </w:tcPr>
          <w:p w14:paraId="54EE8BD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13.4</w:t>
            </w:r>
          </w:p>
        </w:tc>
      </w:tr>
      <w:tr w14:paraId="6891D73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573D3D00">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6D56C79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0.75</w:t>
            </w:r>
          </w:p>
        </w:tc>
        <w:tc>
          <w:tcPr>
            <w:tcW w:w="771" w:type="dxa"/>
            <w:vAlign w:val="center"/>
          </w:tcPr>
          <w:p w14:paraId="2EDDF98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19.1</w:t>
            </w:r>
          </w:p>
        </w:tc>
        <w:tc>
          <w:tcPr>
            <w:tcW w:w="870" w:type="dxa"/>
            <w:vAlign w:val="center"/>
          </w:tcPr>
          <w:p w14:paraId="24360430">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l8.l</w:t>
            </w:r>
          </w:p>
        </w:tc>
        <w:tc>
          <w:tcPr>
            <w:tcW w:w="771" w:type="dxa"/>
            <w:vAlign w:val="center"/>
          </w:tcPr>
          <w:p w14:paraId="560B3F7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17.4</w:t>
            </w:r>
          </w:p>
        </w:tc>
        <w:tc>
          <w:tcPr>
            <w:tcW w:w="771" w:type="dxa"/>
            <w:vAlign w:val="center"/>
          </w:tcPr>
          <w:p w14:paraId="579A9AD4">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16.5</w:t>
            </w:r>
          </w:p>
        </w:tc>
        <w:tc>
          <w:tcPr>
            <w:tcW w:w="770" w:type="dxa"/>
            <w:vAlign w:val="center"/>
          </w:tcPr>
          <w:p w14:paraId="768A090A">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15.5</w:t>
            </w:r>
          </w:p>
        </w:tc>
        <w:tc>
          <w:tcPr>
            <w:tcW w:w="771" w:type="dxa"/>
            <w:vAlign w:val="center"/>
          </w:tcPr>
          <w:p w14:paraId="41CE3AE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15</w:t>
            </w:r>
          </w:p>
        </w:tc>
        <w:tc>
          <w:tcPr>
            <w:tcW w:w="771" w:type="dxa"/>
            <w:vAlign w:val="center"/>
          </w:tcPr>
          <w:p w14:paraId="71B6263C">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l4.8</w:t>
            </w:r>
          </w:p>
        </w:tc>
        <w:tc>
          <w:tcPr>
            <w:tcW w:w="771" w:type="dxa"/>
            <w:vAlign w:val="center"/>
          </w:tcPr>
          <w:p w14:paraId="16E6E69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14.8</w:t>
            </w:r>
          </w:p>
        </w:tc>
        <w:tc>
          <w:tcPr>
            <w:tcW w:w="776" w:type="dxa"/>
            <w:vAlign w:val="center"/>
          </w:tcPr>
          <w:p w14:paraId="0CCB3C1A">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14.8</w:t>
            </w:r>
          </w:p>
        </w:tc>
      </w:tr>
      <w:tr w14:paraId="5C3D02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0BB866DE">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2D75347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0.5</w:t>
            </w:r>
          </w:p>
        </w:tc>
        <w:tc>
          <w:tcPr>
            <w:tcW w:w="771" w:type="dxa"/>
            <w:vAlign w:val="center"/>
          </w:tcPr>
          <w:p w14:paraId="485D154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23.3</w:t>
            </w:r>
          </w:p>
        </w:tc>
        <w:tc>
          <w:tcPr>
            <w:tcW w:w="870" w:type="dxa"/>
            <w:vAlign w:val="center"/>
          </w:tcPr>
          <w:p w14:paraId="0EB3903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22.3</w:t>
            </w:r>
          </w:p>
        </w:tc>
        <w:tc>
          <w:tcPr>
            <w:tcW w:w="771" w:type="dxa"/>
            <w:vAlign w:val="center"/>
          </w:tcPr>
          <w:p w14:paraId="670B6E6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21.5</w:t>
            </w:r>
          </w:p>
        </w:tc>
        <w:tc>
          <w:tcPr>
            <w:tcW w:w="771" w:type="dxa"/>
            <w:vAlign w:val="center"/>
          </w:tcPr>
          <w:p w14:paraId="65D294DC">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20.6</w:t>
            </w:r>
          </w:p>
        </w:tc>
        <w:tc>
          <w:tcPr>
            <w:tcW w:w="770" w:type="dxa"/>
            <w:vAlign w:val="center"/>
          </w:tcPr>
          <w:p w14:paraId="12E85FD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19.5</w:t>
            </w:r>
          </w:p>
        </w:tc>
        <w:tc>
          <w:tcPr>
            <w:tcW w:w="771" w:type="dxa"/>
            <w:vAlign w:val="center"/>
          </w:tcPr>
          <w:p w14:paraId="4C6ED41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19</w:t>
            </w:r>
          </w:p>
        </w:tc>
        <w:tc>
          <w:tcPr>
            <w:tcW w:w="771" w:type="dxa"/>
            <w:vAlign w:val="center"/>
          </w:tcPr>
          <w:p w14:paraId="57A2B8F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18.8</w:t>
            </w:r>
          </w:p>
        </w:tc>
        <w:tc>
          <w:tcPr>
            <w:tcW w:w="771" w:type="dxa"/>
            <w:vAlign w:val="center"/>
          </w:tcPr>
          <w:p w14:paraId="18D6FFF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18.7</w:t>
            </w:r>
          </w:p>
        </w:tc>
        <w:tc>
          <w:tcPr>
            <w:tcW w:w="776" w:type="dxa"/>
            <w:vAlign w:val="center"/>
          </w:tcPr>
          <w:p w14:paraId="3F2E8BF4">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18.7</w:t>
            </w:r>
          </w:p>
        </w:tc>
      </w:tr>
      <w:tr w14:paraId="03758EA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228" w:hRule="atLeast"/>
          <w:jc w:val="center"/>
        </w:trPr>
        <w:tc>
          <w:tcPr>
            <w:tcW w:w="1138" w:type="dxa"/>
            <w:vMerge w:val="restart"/>
            <w:vAlign w:val="center"/>
          </w:tcPr>
          <w:p w14:paraId="35B3EC0A">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20</w:t>
            </w:r>
          </w:p>
        </w:tc>
        <w:tc>
          <w:tcPr>
            <w:tcW w:w="1204" w:type="dxa"/>
            <w:vAlign w:val="center"/>
          </w:tcPr>
          <w:p w14:paraId="5E38CC1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l.00</w:t>
            </w:r>
          </w:p>
        </w:tc>
        <w:tc>
          <w:tcPr>
            <w:tcW w:w="771" w:type="dxa"/>
            <w:vAlign w:val="center"/>
          </w:tcPr>
          <w:p w14:paraId="174C18C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5.91</w:t>
            </w:r>
          </w:p>
        </w:tc>
        <w:tc>
          <w:tcPr>
            <w:tcW w:w="870" w:type="dxa"/>
            <w:vAlign w:val="center"/>
          </w:tcPr>
          <w:p w14:paraId="59B1BE3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5.53</w:t>
            </w:r>
          </w:p>
        </w:tc>
        <w:tc>
          <w:tcPr>
            <w:tcW w:w="771" w:type="dxa"/>
            <w:vAlign w:val="center"/>
          </w:tcPr>
          <w:p w14:paraId="27F2865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5.3</w:t>
            </w:r>
          </w:p>
        </w:tc>
        <w:tc>
          <w:tcPr>
            <w:tcW w:w="771" w:type="dxa"/>
            <w:vAlign w:val="center"/>
          </w:tcPr>
          <w:p w14:paraId="4E95509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5.06</w:t>
            </w:r>
          </w:p>
        </w:tc>
        <w:tc>
          <w:tcPr>
            <w:tcW w:w="770" w:type="dxa"/>
            <w:vAlign w:val="center"/>
          </w:tcPr>
          <w:p w14:paraId="35E5BD3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4.81</w:t>
            </w:r>
          </w:p>
        </w:tc>
        <w:tc>
          <w:tcPr>
            <w:tcW w:w="771" w:type="dxa"/>
            <w:vAlign w:val="center"/>
          </w:tcPr>
          <w:p w14:paraId="0BB2B2D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4.7</w:t>
            </w:r>
          </w:p>
        </w:tc>
        <w:tc>
          <w:tcPr>
            <w:tcW w:w="771" w:type="dxa"/>
            <w:vAlign w:val="center"/>
          </w:tcPr>
          <w:p w14:paraId="06AEC1A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4.66</w:t>
            </w:r>
          </w:p>
        </w:tc>
        <w:tc>
          <w:tcPr>
            <w:tcW w:w="771" w:type="dxa"/>
            <w:vAlign w:val="center"/>
          </w:tcPr>
          <w:p w14:paraId="0FDEFEE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4.64</w:t>
            </w:r>
          </w:p>
        </w:tc>
        <w:tc>
          <w:tcPr>
            <w:tcW w:w="776" w:type="dxa"/>
            <w:vAlign w:val="center"/>
          </w:tcPr>
          <w:p w14:paraId="353F60AA">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4.64</w:t>
            </w:r>
          </w:p>
        </w:tc>
      </w:tr>
      <w:tr w14:paraId="4C7C9E6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228" w:hRule="atLeast"/>
          <w:jc w:val="center"/>
        </w:trPr>
        <w:tc>
          <w:tcPr>
            <w:tcW w:w="1138" w:type="dxa"/>
            <w:vMerge w:val="continue"/>
            <w:vAlign w:val="center"/>
          </w:tcPr>
          <w:p w14:paraId="31DB6B96">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3232F9EC">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0.75</w:t>
            </w:r>
          </w:p>
        </w:tc>
        <w:tc>
          <w:tcPr>
            <w:tcW w:w="771" w:type="dxa"/>
            <w:vAlign w:val="center"/>
          </w:tcPr>
          <w:p w14:paraId="01F4A0D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6.27</w:t>
            </w:r>
          </w:p>
        </w:tc>
        <w:tc>
          <w:tcPr>
            <w:tcW w:w="870" w:type="dxa"/>
            <w:vAlign w:val="center"/>
          </w:tcPr>
          <w:p w14:paraId="3D8B18B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5.94</w:t>
            </w:r>
          </w:p>
        </w:tc>
        <w:tc>
          <w:tcPr>
            <w:tcW w:w="771" w:type="dxa"/>
            <w:vAlign w:val="center"/>
          </w:tcPr>
          <w:p w14:paraId="76EF465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5.73</w:t>
            </w:r>
          </w:p>
        </w:tc>
        <w:tc>
          <w:tcPr>
            <w:tcW w:w="771" w:type="dxa"/>
            <w:vAlign w:val="center"/>
          </w:tcPr>
          <w:p w14:paraId="61E4180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5.5</w:t>
            </w:r>
          </w:p>
        </w:tc>
        <w:tc>
          <w:tcPr>
            <w:tcW w:w="770" w:type="dxa"/>
            <w:vAlign w:val="center"/>
          </w:tcPr>
          <w:p w14:paraId="21A185A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5.25</w:t>
            </w:r>
          </w:p>
        </w:tc>
        <w:tc>
          <w:tcPr>
            <w:tcW w:w="771" w:type="dxa"/>
            <w:vAlign w:val="center"/>
          </w:tcPr>
          <w:p w14:paraId="1107197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5.15</w:t>
            </w:r>
          </w:p>
        </w:tc>
        <w:tc>
          <w:tcPr>
            <w:tcW w:w="771" w:type="dxa"/>
            <w:vAlign w:val="center"/>
          </w:tcPr>
          <w:p w14:paraId="59F5429F">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5.1</w:t>
            </w:r>
          </w:p>
        </w:tc>
        <w:tc>
          <w:tcPr>
            <w:tcW w:w="771" w:type="dxa"/>
            <w:vAlign w:val="center"/>
          </w:tcPr>
          <w:p w14:paraId="7343B850">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5.08</w:t>
            </w:r>
          </w:p>
        </w:tc>
        <w:tc>
          <w:tcPr>
            <w:tcW w:w="776" w:type="dxa"/>
            <w:vAlign w:val="center"/>
          </w:tcPr>
          <w:p w14:paraId="0CB4577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5.08</w:t>
            </w:r>
          </w:p>
        </w:tc>
      </w:tr>
      <w:tr w14:paraId="5AD6241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228" w:hRule="atLeast"/>
          <w:jc w:val="center"/>
        </w:trPr>
        <w:tc>
          <w:tcPr>
            <w:tcW w:w="1138" w:type="dxa"/>
            <w:vMerge w:val="continue"/>
            <w:vAlign w:val="center"/>
          </w:tcPr>
          <w:p w14:paraId="4A3BF02A">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3D33FB6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0.5</w:t>
            </w:r>
          </w:p>
        </w:tc>
        <w:tc>
          <w:tcPr>
            <w:tcW w:w="771" w:type="dxa"/>
            <w:vAlign w:val="center"/>
          </w:tcPr>
          <w:p w14:paraId="24854A9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7.67</w:t>
            </w:r>
          </w:p>
        </w:tc>
        <w:tc>
          <w:tcPr>
            <w:tcW w:w="870" w:type="dxa"/>
            <w:vAlign w:val="center"/>
          </w:tcPr>
          <w:p w14:paraId="1EADC2F0">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7.34</w:t>
            </w:r>
          </w:p>
        </w:tc>
        <w:tc>
          <w:tcPr>
            <w:tcW w:w="771" w:type="dxa"/>
            <w:vAlign w:val="center"/>
          </w:tcPr>
          <w:p w14:paraId="63C98D3F">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7.12</w:t>
            </w:r>
          </w:p>
        </w:tc>
        <w:tc>
          <w:tcPr>
            <w:tcW w:w="771" w:type="dxa"/>
            <w:vAlign w:val="center"/>
          </w:tcPr>
          <w:p w14:paraId="62C3203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6.8</w:t>
            </w:r>
          </w:p>
        </w:tc>
        <w:tc>
          <w:tcPr>
            <w:tcW w:w="770" w:type="dxa"/>
            <w:vAlign w:val="center"/>
          </w:tcPr>
          <w:p w14:paraId="0823671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6.6</w:t>
            </w:r>
          </w:p>
        </w:tc>
        <w:tc>
          <w:tcPr>
            <w:tcW w:w="771" w:type="dxa"/>
            <w:vAlign w:val="center"/>
          </w:tcPr>
          <w:p w14:paraId="210DBEDC">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6.48</w:t>
            </w:r>
          </w:p>
        </w:tc>
        <w:tc>
          <w:tcPr>
            <w:tcW w:w="771" w:type="dxa"/>
            <w:vAlign w:val="center"/>
          </w:tcPr>
          <w:p w14:paraId="57A6FF1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6.43</w:t>
            </w:r>
          </w:p>
        </w:tc>
        <w:tc>
          <w:tcPr>
            <w:tcW w:w="771" w:type="dxa"/>
            <w:vAlign w:val="center"/>
          </w:tcPr>
          <w:p w14:paraId="15CBF5F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6.41</w:t>
            </w:r>
          </w:p>
        </w:tc>
        <w:tc>
          <w:tcPr>
            <w:tcW w:w="776" w:type="dxa"/>
            <w:vAlign w:val="center"/>
          </w:tcPr>
          <w:p w14:paraId="023FC02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6.41</w:t>
            </w:r>
          </w:p>
        </w:tc>
      </w:tr>
      <w:tr w14:paraId="5F862E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restart"/>
            <w:vAlign w:val="center"/>
          </w:tcPr>
          <w:p w14:paraId="626D201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50</w:t>
            </w:r>
          </w:p>
        </w:tc>
        <w:tc>
          <w:tcPr>
            <w:tcW w:w="1204" w:type="dxa"/>
            <w:vAlign w:val="center"/>
          </w:tcPr>
          <w:p w14:paraId="2DE6781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w:t>
            </w:r>
          </w:p>
        </w:tc>
        <w:tc>
          <w:tcPr>
            <w:tcW w:w="771" w:type="dxa"/>
            <w:vAlign w:val="center"/>
          </w:tcPr>
          <w:p w14:paraId="2AE14DA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1.25</w:t>
            </w:r>
          </w:p>
        </w:tc>
        <w:tc>
          <w:tcPr>
            <w:tcW w:w="870" w:type="dxa"/>
            <w:vAlign w:val="center"/>
          </w:tcPr>
          <w:p w14:paraId="73DB6ED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1.18</w:t>
            </w:r>
          </w:p>
        </w:tc>
        <w:tc>
          <w:tcPr>
            <w:tcW w:w="771" w:type="dxa"/>
            <w:vAlign w:val="center"/>
          </w:tcPr>
          <w:p w14:paraId="0D4F364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1.14</w:t>
            </w:r>
          </w:p>
        </w:tc>
        <w:tc>
          <w:tcPr>
            <w:tcW w:w="771" w:type="dxa"/>
            <w:vAlign w:val="center"/>
          </w:tcPr>
          <w:p w14:paraId="3812E26A">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1.11</w:t>
            </w:r>
          </w:p>
        </w:tc>
        <w:tc>
          <w:tcPr>
            <w:tcW w:w="770" w:type="dxa"/>
            <w:vAlign w:val="center"/>
          </w:tcPr>
          <w:p w14:paraId="22EF742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1.07</w:t>
            </w:r>
          </w:p>
        </w:tc>
        <w:tc>
          <w:tcPr>
            <w:tcW w:w="771" w:type="dxa"/>
            <w:vAlign w:val="center"/>
          </w:tcPr>
          <w:p w14:paraId="5A2D6170">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1.05</w:t>
            </w:r>
          </w:p>
        </w:tc>
        <w:tc>
          <w:tcPr>
            <w:tcW w:w="771" w:type="dxa"/>
            <w:vAlign w:val="center"/>
          </w:tcPr>
          <w:p w14:paraId="5709243F">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1.04</w:t>
            </w:r>
          </w:p>
        </w:tc>
        <w:tc>
          <w:tcPr>
            <w:tcW w:w="771" w:type="dxa"/>
            <w:vAlign w:val="center"/>
          </w:tcPr>
          <w:p w14:paraId="0AA2C68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1.04</w:t>
            </w:r>
          </w:p>
        </w:tc>
        <w:tc>
          <w:tcPr>
            <w:tcW w:w="776" w:type="dxa"/>
            <w:vAlign w:val="center"/>
          </w:tcPr>
          <w:p w14:paraId="140844EF">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1.04</w:t>
            </w:r>
          </w:p>
        </w:tc>
      </w:tr>
      <w:tr w14:paraId="1C490C3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2150F37A">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52C81E8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0.75</w:t>
            </w:r>
          </w:p>
        </w:tc>
        <w:tc>
          <w:tcPr>
            <w:tcW w:w="771" w:type="dxa"/>
            <w:vAlign w:val="center"/>
          </w:tcPr>
          <w:p w14:paraId="151636D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1.33</w:t>
            </w:r>
          </w:p>
        </w:tc>
        <w:tc>
          <w:tcPr>
            <w:tcW w:w="870" w:type="dxa"/>
            <w:vAlign w:val="center"/>
          </w:tcPr>
          <w:p w14:paraId="1D42877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1.27</w:t>
            </w:r>
          </w:p>
        </w:tc>
        <w:tc>
          <w:tcPr>
            <w:tcW w:w="771" w:type="dxa"/>
            <w:vAlign w:val="center"/>
          </w:tcPr>
          <w:p w14:paraId="2A06B0C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1.23</w:t>
            </w:r>
          </w:p>
        </w:tc>
        <w:tc>
          <w:tcPr>
            <w:tcW w:w="771" w:type="dxa"/>
            <w:vAlign w:val="center"/>
          </w:tcPr>
          <w:p w14:paraId="43A63F2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1.2</w:t>
            </w:r>
          </w:p>
        </w:tc>
        <w:tc>
          <w:tcPr>
            <w:tcW w:w="770" w:type="dxa"/>
            <w:vAlign w:val="center"/>
          </w:tcPr>
          <w:p w14:paraId="5C2DD1A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1.16</w:t>
            </w:r>
          </w:p>
        </w:tc>
        <w:tc>
          <w:tcPr>
            <w:tcW w:w="771" w:type="dxa"/>
            <w:vAlign w:val="center"/>
          </w:tcPr>
          <w:p w14:paraId="7C7DB23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1.14</w:t>
            </w:r>
          </w:p>
        </w:tc>
        <w:tc>
          <w:tcPr>
            <w:tcW w:w="771" w:type="dxa"/>
            <w:vAlign w:val="center"/>
          </w:tcPr>
          <w:p w14:paraId="3538624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1.13</w:t>
            </w:r>
          </w:p>
        </w:tc>
        <w:tc>
          <w:tcPr>
            <w:tcW w:w="771" w:type="dxa"/>
            <w:vAlign w:val="center"/>
          </w:tcPr>
          <w:p w14:paraId="47B4498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1.13</w:t>
            </w:r>
          </w:p>
        </w:tc>
        <w:tc>
          <w:tcPr>
            <w:tcW w:w="776" w:type="dxa"/>
            <w:vAlign w:val="center"/>
          </w:tcPr>
          <w:p w14:paraId="1E7A2B7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1.13</w:t>
            </w:r>
          </w:p>
        </w:tc>
      </w:tr>
      <w:tr w14:paraId="146885B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2E28E10B">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651A0C2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0.5</w:t>
            </w:r>
          </w:p>
        </w:tc>
        <w:tc>
          <w:tcPr>
            <w:tcW w:w="771" w:type="dxa"/>
            <w:vAlign w:val="center"/>
          </w:tcPr>
          <w:p w14:paraId="722AF4E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1.64</w:t>
            </w:r>
          </w:p>
        </w:tc>
        <w:tc>
          <w:tcPr>
            <w:tcW w:w="870" w:type="dxa"/>
            <w:vAlign w:val="center"/>
          </w:tcPr>
          <w:p w14:paraId="27A1F12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1.57</w:t>
            </w:r>
          </w:p>
        </w:tc>
        <w:tc>
          <w:tcPr>
            <w:tcW w:w="771" w:type="dxa"/>
            <w:vAlign w:val="center"/>
          </w:tcPr>
          <w:p w14:paraId="3EB6592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1.54</w:t>
            </w:r>
          </w:p>
        </w:tc>
        <w:tc>
          <w:tcPr>
            <w:tcW w:w="771" w:type="dxa"/>
            <w:vAlign w:val="center"/>
          </w:tcPr>
          <w:p w14:paraId="02B1AD9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l.50</w:t>
            </w:r>
          </w:p>
        </w:tc>
        <w:tc>
          <w:tcPr>
            <w:tcW w:w="770" w:type="dxa"/>
            <w:vAlign w:val="center"/>
          </w:tcPr>
          <w:p w14:paraId="396C4EB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1.46</w:t>
            </w:r>
          </w:p>
        </w:tc>
        <w:tc>
          <w:tcPr>
            <w:tcW w:w="771" w:type="dxa"/>
            <w:vAlign w:val="center"/>
          </w:tcPr>
          <w:p w14:paraId="51B3AF7A">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1.14</w:t>
            </w:r>
          </w:p>
        </w:tc>
        <w:tc>
          <w:tcPr>
            <w:tcW w:w="771" w:type="dxa"/>
            <w:vAlign w:val="center"/>
          </w:tcPr>
          <w:p w14:paraId="28E00784">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1.43</w:t>
            </w:r>
          </w:p>
        </w:tc>
        <w:tc>
          <w:tcPr>
            <w:tcW w:w="771" w:type="dxa"/>
            <w:vAlign w:val="center"/>
          </w:tcPr>
          <w:p w14:paraId="35C4FC7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1.43</w:t>
            </w:r>
          </w:p>
        </w:tc>
        <w:tc>
          <w:tcPr>
            <w:tcW w:w="776" w:type="dxa"/>
            <w:vAlign w:val="center"/>
          </w:tcPr>
          <w:p w14:paraId="53784F0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1.43</w:t>
            </w:r>
          </w:p>
        </w:tc>
      </w:tr>
      <w:tr w14:paraId="4CEFA10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restart"/>
            <w:vAlign w:val="center"/>
          </w:tcPr>
          <w:p w14:paraId="1563447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100</w:t>
            </w:r>
          </w:p>
        </w:tc>
        <w:tc>
          <w:tcPr>
            <w:tcW w:w="1204" w:type="dxa"/>
            <w:vAlign w:val="center"/>
          </w:tcPr>
          <w:p w14:paraId="7BB02B2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1</w:t>
            </w:r>
          </w:p>
        </w:tc>
        <w:tc>
          <w:tcPr>
            <w:tcW w:w="771" w:type="dxa"/>
            <w:vAlign w:val="center"/>
          </w:tcPr>
          <w:p w14:paraId="5F3B1726">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0.37</w:t>
            </w:r>
          </w:p>
        </w:tc>
        <w:tc>
          <w:tcPr>
            <w:tcW w:w="870" w:type="dxa"/>
            <w:vAlign w:val="center"/>
          </w:tcPr>
          <w:p w14:paraId="2F55364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0.35</w:t>
            </w:r>
          </w:p>
        </w:tc>
        <w:tc>
          <w:tcPr>
            <w:tcW w:w="771" w:type="dxa"/>
            <w:vAlign w:val="center"/>
          </w:tcPr>
          <w:p w14:paraId="141E710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0.34</w:t>
            </w:r>
          </w:p>
        </w:tc>
        <w:tc>
          <w:tcPr>
            <w:tcW w:w="771" w:type="dxa"/>
            <w:vAlign w:val="center"/>
          </w:tcPr>
          <w:p w14:paraId="0217A3E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0.34</w:t>
            </w:r>
          </w:p>
        </w:tc>
        <w:tc>
          <w:tcPr>
            <w:tcW w:w="770" w:type="dxa"/>
            <w:vAlign w:val="center"/>
          </w:tcPr>
          <w:p w14:paraId="13E203A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0.33</w:t>
            </w:r>
          </w:p>
        </w:tc>
        <w:tc>
          <w:tcPr>
            <w:tcW w:w="771" w:type="dxa"/>
            <w:vAlign w:val="center"/>
          </w:tcPr>
          <w:p w14:paraId="2CE5C6F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0.32</w:t>
            </w:r>
          </w:p>
        </w:tc>
        <w:tc>
          <w:tcPr>
            <w:tcW w:w="771" w:type="dxa"/>
            <w:vAlign w:val="center"/>
          </w:tcPr>
          <w:p w14:paraId="096CECF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0.32</w:t>
            </w:r>
          </w:p>
        </w:tc>
        <w:tc>
          <w:tcPr>
            <w:tcW w:w="771" w:type="dxa"/>
            <w:vAlign w:val="center"/>
          </w:tcPr>
          <w:p w14:paraId="372DC3A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0.32</w:t>
            </w:r>
          </w:p>
        </w:tc>
        <w:tc>
          <w:tcPr>
            <w:tcW w:w="776" w:type="dxa"/>
            <w:vAlign w:val="center"/>
          </w:tcPr>
          <w:p w14:paraId="418B2A2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0.32</w:t>
            </w:r>
          </w:p>
        </w:tc>
      </w:tr>
      <w:tr w14:paraId="4633B2B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1138" w:type="dxa"/>
            <w:vMerge w:val="continue"/>
            <w:vAlign w:val="center"/>
          </w:tcPr>
          <w:p w14:paraId="4965BD01">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2B59B2A5">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0.75</w:t>
            </w:r>
          </w:p>
        </w:tc>
        <w:tc>
          <w:tcPr>
            <w:tcW w:w="771" w:type="dxa"/>
            <w:vAlign w:val="center"/>
          </w:tcPr>
          <w:p w14:paraId="58EDF03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0.4</w:t>
            </w:r>
          </w:p>
        </w:tc>
        <w:tc>
          <w:tcPr>
            <w:tcW w:w="870" w:type="dxa"/>
            <w:vAlign w:val="center"/>
          </w:tcPr>
          <w:p w14:paraId="2EE4A64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0.38</w:t>
            </w:r>
          </w:p>
        </w:tc>
        <w:tc>
          <w:tcPr>
            <w:tcW w:w="771" w:type="dxa"/>
            <w:vAlign w:val="center"/>
          </w:tcPr>
          <w:p w14:paraId="5DD42CAC">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0.37</w:t>
            </w:r>
          </w:p>
        </w:tc>
        <w:tc>
          <w:tcPr>
            <w:tcW w:w="771" w:type="dxa"/>
            <w:vAlign w:val="center"/>
          </w:tcPr>
          <w:p w14:paraId="6C797FF1">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0.36</w:t>
            </w:r>
          </w:p>
        </w:tc>
        <w:tc>
          <w:tcPr>
            <w:tcW w:w="770" w:type="dxa"/>
            <w:vAlign w:val="center"/>
          </w:tcPr>
          <w:p w14:paraId="7210244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0.35</w:t>
            </w:r>
          </w:p>
        </w:tc>
        <w:tc>
          <w:tcPr>
            <w:tcW w:w="771" w:type="dxa"/>
            <w:vAlign w:val="center"/>
          </w:tcPr>
          <w:p w14:paraId="01FDD21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0.35</w:t>
            </w:r>
          </w:p>
        </w:tc>
        <w:tc>
          <w:tcPr>
            <w:tcW w:w="771" w:type="dxa"/>
            <w:vAlign w:val="center"/>
          </w:tcPr>
          <w:p w14:paraId="2CB9C0C8">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0.35</w:t>
            </w:r>
          </w:p>
        </w:tc>
        <w:tc>
          <w:tcPr>
            <w:tcW w:w="771" w:type="dxa"/>
            <w:vAlign w:val="center"/>
          </w:tcPr>
          <w:p w14:paraId="7DA54E47">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0.35</w:t>
            </w:r>
          </w:p>
        </w:tc>
        <w:tc>
          <w:tcPr>
            <w:tcW w:w="776" w:type="dxa"/>
            <w:vAlign w:val="center"/>
          </w:tcPr>
          <w:p w14:paraId="5B730FFC">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0.35</w:t>
            </w:r>
          </w:p>
        </w:tc>
      </w:tr>
      <w:tr w14:paraId="048A925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90" w:hRule="atLeast"/>
          <w:jc w:val="center"/>
        </w:trPr>
        <w:tc>
          <w:tcPr>
            <w:tcW w:w="1138" w:type="dxa"/>
            <w:vMerge w:val="continue"/>
            <w:vAlign w:val="center"/>
          </w:tcPr>
          <w:p w14:paraId="4E4109F8">
            <w:pPr>
              <w:keepNext w:val="0"/>
              <w:keepLines w:val="0"/>
              <w:pageBreakBefore w:val="0"/>
              <w:kinsoku/>
              <w:wordWrap/>
              <w:overflowPunct/>
              <w:topLinePunct w:val="0"/>
              <w:autoSpaceDE/>
              <w:autoSpaceDN/>
              <w:bidi w:val="0"/>
              <w:adjustRightInd/>
              <w:snapToGrid/>
              <w:jc w:val="center"/>
              <w:rPr>
                <w:color w:val="auto"/>
                <w:sz w:val="18"/>
                <w:szCs w:val="18"/>
                <w:highlight w:val="none"/>
              </w:rPr>
            </w:pPr>
          </w:p>
        </w:tc>
        <w:tc>
          <w:tcPr>
            <w:tcW w:w="1204" w:type="dxa"/>
            <w:vAlign w:val="center"/>
          </w:tcPr>
          <w:p w14:paraId="1DEEC7DD">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0.5</w:t>
            </w:r>
          </w:p>
        </w:tc>
        <w:tc>
          <w:tcPr>
            <w:tcW w:w="771" w:type="dxa"/>
            <w:vAlign w:val="center"/>
          </w:tcPr>
          <w:p w14:paraId="582C819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0.49</w:t>
            </w:r>
          </w:p>
        </w:tc>
        <w:tc>
          <w:tcPr>
            <w:tcW w:w="870" w:type="dxa"/>
            <w:vAlign w:val="center"/>
          </w:tcPr>
          <w:p w14:paraId="446B9D9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0. 47</w:t>
            </w:r>
          </w:p>
        </w:tc>
        <w:tc>
          <w:tcPr>
            <w:tcW w:w="771" w:type="dxa"/>
            <w:vAlign w:val="center"/>
          </w:tcPr>
          <w:p w14:paraId="3284CBB2">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0.46</w:t>
            </w:r>
          </w:p>
        </w:tc>
        <w:tc>
          <w:tcPr>
            <w:tcW w:w="771" w:type="dxa"/>
            <w:vAlign w:val="center"/>
          </w:tcPr>
          <w:p w14:paraId="25929933">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0.45</w:t>
            </w:r>
          </w:p>
        </w:tc>
        <w:tc>
          <w:tcPr>
            <w:tcW w:w="770" w:type="dxa"/>
            <w:vAlign w:val="center"/>
          </w:tcPr>
          <w:p w14:paraId="33BE254E">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0.44</w:t>
            </w:r>
          </w:p>
        </w:tc>
        <w:tc>
          <w:tcPr>
            <w:tcW w:w="771" w:type="dxa"/>
            <w:vAlign w:val="center"/>
          </w:tcPr>
          <w:p w14:paraId="5F919034">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0.44</w:t>
            </w:r>
          </w:p>
        </w:tc>
        <w:tc>
          <w:tcPr>
            <w:tcW w:w="771" w:type="dxa"/>
            <w:vAlign w:val="center"/>
          </w:tcPr>
          <w:p w14:paraId="7494A8F9">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0.44</w:t>
            </w:r>
          </w:p>
        </w:tc>
        <w:tc>
          <w:tcPr>
            <w:tcW w:w="771" w:type="dxa"/>
            <w:vAlign w:val="center"/>
          </w:tcPr>
          <w:p w14:paraId="7C7CB2DB">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0.44</w:t>
            </w:r>
          </w:p>
        </w:tc>
        <w:tc>
          <w:tcPr>
            <w:tcW w:w="776" w:type="dxa"/>
            <w:vAlign w:val="center"/>
          </w:tcPr>
          <w:p w14:paraId="31D139D0">
            <w:pPr>
              <w:keepNext w:val="0"/>
              <w:keepLines w:val="0"/>
              <w:pageBreakBefore w:val="0"/>
              <w:widowControl/>
              <w:kinsoku/>
              <w:wordWrap/>
              <w:overflowPunct/>
              <w:topLinePunct w:val="0"/>
              <w:autoSpaceDE/>
              <w:autoSpaceDN/>
              <w:bidi w:val="0"/>
              <w:adjustRightInd/>
              <w:snapToGrid/>
              <w:jc w:val="center"/>
              <w:textAlignment w:val="center"/>
              <w:rPr>
                <w:color w:val="auto"/>
                <w:sz w:val="18"/>
                <w:szCs w:val="18"/>
                <w:highlight w:val="none"/>
              </w:rPr>
            </w:pPr>
            <w:r>
              <w:rPr>
                <w:color w:val="auto"/>
                <w:kern w:val="0"/>
                <w:sz w:val="18"/>
                <w:szCs w:val="18"/>
                <w:highlight w:val="none"/>
                <w:lang w:bidi="ar"/>
              </w:rPr>
              <w:t>0.44</w:t>
            </w:r>
          </w:p>
        </w:tc>
      </w:tr>
      <w:tr w14:paraId="67FB114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5" w:type="dxa"/>
            <w:left w:w="15" w:type="dxa"/>
            <w:bottom w:w="15" w:type="dxa"/>
            <w:right w:w="15" w:type="dxa"/>
          </w:tblCellMar>
        </w:tblPrEx>
        <w:trPr>
          <w:trHeight w:val="325" w:hRule="atLeast"/>
          <w:jc w:val="center"/>
        </w:trPr>
        <w:tc>
          <w:tcPr>
            <w:tcW w:w="9384" w:type="dxa"/>
            <w:gridSpan w:val="11"/>
            <w:vAlign w:val="center"/>
          </w:tcPr>
          <w:p w14:paraId="25B39DC6">
            <w:pPr>
              <w:keepNext w:val="0"/>
              <w:keepLines w:val="0"/>
              <w:pageBreakBefore w:val="0"/>
              <w:widowControl/>
              <w:kinsoku/>
              <w:wordWrap/>
              <w:overflowPunct/>
              <w:topLinePunct w:val="0"/>
              <w:autoSpaceDE/>
              <w:autoSpaceDN/>
              <w:bidi w:val="0"/>
              <w:adjustRightInd/>
              <w:snapToGrid/>
              <w:textAlignment w:val="center"/>
              <w:rPr>
                <w:rFonts w:eastAsia="黑体"/>
                <w:color w:val="auto"/>
                <w:sz w:val="18"/>
                <w:szCs w:val="18"/>
                <w:highlight w:val="none"/>
              </w:rPr>
            </w:pPr>
            <w:r>
              <w:rPr>
                <w:rFonts w:hint="eastAsia" w:ascii="宋体" w:hAnsi="宋体" w:eastAsia="宋体" w:cs="宋体"/>
                <w:b/>
                <w:bCs/>
                <w:color w:val="auto"/>
                <w:kern w:val="0"/>
                <w:sz w:val="18"/>
                <w:szCs w:val="18"/>
                <w:highlight w:val="none"/>
                <w:lang w:bidi="ar"/>
              </w:rPr>
              <w:t>注：</w:t>
            </w:r>
            <w:r>
              <w:rPr>
                <w:rStyle w:val="54"/>
                <w:rFonts w:hint="eastAsia" w:ascii="宋体" w:hAnsi="宋体" w:eastAsia="宋体" w:cs="宋体"/>
                <w:b/>
                <w:bCs/>
                <w:color w:val="auto"/>
                <w:sz w:val="18"/>
                <w:szCs w:val="18"/>
                <w:highlight w:val="none"/>
                <w:lang w:bidi="ar"/>
              </w:rPr>
              <w:t>表内符号见图</w:t>
            </w:r>
            <w:r>
              <w:rPr>
                <w:rStyle w:val="54"/>
                <w:rFonts w:hint="eastAsia" w:ascii="宋体" w:hAnsi="宋体" w:eastAsia="宋体" w:cs="宋体"/>
                <w:b/>
                <w:bCs/>
                <w:color w:val="auto"/>
                <w:sz w:val="18"/>
                <w:szCs w:val="18"/>
                <w:highlight w:val="none"/>
                <w:lang w:val="en-US" w:eastAsia="zh-CN" w:bidi="ar"/>
              </w:rPr>
              <w:t>C</w:t>
            </w:r>
            <w:r>
              <w:rPr>
                <w:rStyle w:val="54"/>
                <w:rFonts w:hint="eastAsia" w:ascii="宋体" w:hAnsi="宋体" w:eastAsia="宋体" w:cs="宋体"/>
                <w:b/>
                <w:bCs/>
                <w:color w:val="auto"/>
                <w:sz w:val="18"/>
                <w:szCs w:val="18"/>
                <w:highlight w:val="none"/>
                <w:lang w:bidi="ar"/>
              </w:rPr>
              <w:t>.1-1；可根据各项比值按表列数值采用内插法求C值。</w:t>
            </w:r>
          </w:p>
        </w:tc>
      </w:tr>
    </w:tbl>
    <w:p w14:paraId="79A0608A">
      <w:pPr>
        <w:spacing w:line="360" w:lineRule="exact"/>
        <w:rPr>
          <w:rFonts w:hint="eastAsia"/>
          <w:color w:val="auto"/>
          <w:highlight w:val="none"/>
        </w:rPr>
      </w:pPr>
    </w:p>
    <w:p w14:paraId="0DA22E06">
      <w:pPr>
        <w:pStyle w:val="103"/>
        <w:rPr>
          <w:rFonts w:hint="eastAsia"/>
          <w:color w:val="auto"/>
          <w:highlight w:val="none"/>
        </w:rPr>
      </w:pPr>
    </w:p>
    <w:p w14:paraId="5F00A280">
      <w:pPr>
        <w:pStyle w:val="137"/>
        <w:rPr>
          <w:rFonts w:hint="eastAsia"/>
          <w:color w:val="auto"/>
          <w:highlight w:val="none"/>
        </w:rPr>
      </w:pPr>
    </w:p>
    <w:p w14:paraId="47269A1E">
      <w:pPr>
        <w:pStyle w:val="75"/>
        <w:rPr>
          <w:rFonts w:hint="eastAsia"/>
          <w:color w:val="auto"/>
          <w:highlight w:val="none"/>
        </w:rPr>
      </w:pPr>
      <w:r>
        <w:rPr>
          <w:color w:val="auto"/>
          <w:highlight w:val="none"/>
        </w:rPr>
        <w:br w:type="textWrapping"/>
      </w:r>
      <w:bookmarkStart w:id="418" w:name="_Toc522140522"/>
      <w:bookmarkStart w:id="419" w:name="_Toc299889792"/>
      <w:bookmarkStart w:id="420" w:name="_Toc520823494"/>
      <w:r>
        <w:rPr>
          <w:rFonts w:hint="eastAsia"/>
          <w:color w:val="auto"/>
          <w:highlight w:val="none"/>
        </w:rPr>
        <w:t>（资料性附录）</w:t>
      </w:r>
      <w:r>
        <w:rPr>
          <w:color w:val="auto"/>
          <w:highlight w:val="none"/>
        </w:rPr>
        <w:br w:type="textWrapping"/>
      </w:r>
      <w:r>
        <w:rPr>
          <w:rFonts w:hint="eastAsia"/>
          <w:color w:val="auto"/>
          <w:highlight w:val="none"/>
        </w:rPr>
        <w:t>给水度的野外测定方法</w:t>
      </w:r>
      <w:bookmarkEnd w:id="418"/>
      <w:bookmarkEnd w:id="419"/>
      <w:bookmarkEnd w:id="420"/>
    </w:p>
    <w:p w14:paraId="4E608C6B">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hint="eastAsia" w:ascii="宋体" w:hAnsi="宋体" w:eastAsia="宋体" w:cs="宋体"/>
          <w:color w:val="auto"/>
          <w:highlight w:val="none"/>
        </w:rPr>
      </w:pPr>
      <w:r>
        <w:rPr>
          <w:rFonts w:hint="eastAsia" w:ascii="宋体" w:hAnsi="宋体" w:eastAsia="宋体" w:cs="宋体"/>
          <w:b/>
          <w:bCs/>
          <w:color w:val="auto"/>
          <w:highlight w:val="none"/>
          <w:lang w:val="en-US" w:eastAsia="zh-CN"/>
        </w:rPr>
        <w:t>D</w:t>
      </w:r>
      <w:r>
        <w:rPr>
          <w:rFonts w:hint="eastAsia" w:ascii="宋体" w:hAnsi="宋体" w:eastAsia="宋体" w:cs="宋体"/>
          <w:b/>
          <w:bCs/>
          <w:color w:val="auto"/>
          <w:highlight w:val="none"/>
        </w:rPr>
        <w:t>.1</w:t>
      </w:r>
      <w:r>
        <w:rPr>
          <w:rFonts w:hint="eastAsia" w:ascii="宋体" w:hAnsi="宋体" w:eastAsia="宋体" w:cs="宋体"/>
          <w:color w:val="auto"/>
          <w:highlight w:val="none"/>
        </w:rPr>
        <w:t xml:space="preserve"> 给水度（又称饱和土的释水率）可根据现场测定具体条件分别采用流量计算法或水位降落计算法确定。</w:t>
      </w:r>
    </w:p>
    <w:p w14:paraId="252F4611">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hint="eastAsia" w:ascii="宋体" w:hAnsi="宋体" w:eastAsia="宋体" w:cs="宋体"/>
          <w:color w:val="auto"/>
          <w:highlight w:val="none"/>
        </w:rPr>
      </w:pPr>
      <w:r>
        <w:rPr>
          <w:rFonts w:hint="eastAsia" w:ascii="宋体" w:hAnsi="宋体" w:eastAsia="宋体" w:cs="宋体"/>
          <w:b/>
          <w:bCs/>
          <w:color w:val="auto"/>
          <w:highlight w:val="none"/>
          <w:lang w:val="en-US" w:eastAsia="zh-CN"/>
        </w:rPr>
        <w:t>D</w:t>
      </w:r>
      <w:r>
        <w:rPr>
          <w:rFonts w:hint="eastAsia" w:ascii="宋体" w:hAnsi="宋体" w:eastAsia="宋体" w:cs="宋体"/>
          <w:b/>
          <w:bCs/>
          <w:color w:val="auto"/>
          <w:highlight w:val="none"/>
        </w:rPr>
        <w:t xml:space="preserve">.2 </w:t>
      </w:r>
      <w:r>
        <w:rPr>
          <w:rFonts w:hint="eastAsia" w:ascii="宋体" w:hAnsi="宋体" w:eastAsia="宋体" w:cs="宋体"/>
          <w:color w:val="auto"/>
          <w:highlight w:val="none"/>
        </w:rPr>
        <w:t>纯排水时的水位～流量计算法。冬季或其他条件下，当地下水的蒸发量很小，或与降雨（灌溉）入渗量近似而忽赂不计时，则可根据排水地段内的地下水位和排水量观测资料，按式（</w:t>
      </w:r>
      <w:r>
        <w:rPr>
          <w:rFonts w:hint="eastAsia" w:ascii="宋体" w:hAnsi="宋体" w:eastAsia="宋体" w:cs="宋体"/>
          <w:color w:val="auto"/>
          <w:highlight w:val="none"/>
          <w:lang w:val="en-US" w:eastAsia="zh-CN"/>
        </w:rPr>
        <w:t>D</w:t>
      </w:r>
      <w:r>
        <w:rPr>
          <w:rFonts w:hint="eastAsia" w:ascii="宋体" w:hAnsi="宋体" w:eastAsia="宋体" w:cs="宋体"/>
          <w:color w:val="auto"/>
          <w:highlight w:val="none"/>
        </w:rPr>
        <w:t>.2-1）进行给水度的近似计算：</w:t>
      </w:r>
    </w:p>
    <w:p w14:paraId="55ED0C1C">
      <w:pPr>
        <w:pStyle w:val="108"/>
        <w:jc w:val="right"/>
        <w:rPr>
          <w:rFonts w:hint="eastAsia"/>
          <w:color w:val="auto"/>
          <w:highlight w:val="none"/>
          <w:lang w:eastAsia="zh-CN"/>
        </w:rPr>
      </w:pPr>
      <w:r>
        <w:rPr>
          <w:color w:val="auto"/>
          <w:highlight w:val="none"/>
        </w:rPr>
        <w:object>
          <v:shape id="_x0000_i1041" o:spt="75" type="#_x0000_t75" style="height:28.85pt;width:44.7pt;" o:ole="t" filled="f" o:preferrelative="t" stroked="f" coordsize="21600,21600">
            <v:path/>
            <v:fill on="f" focussize="0,0"/>
            <v:stroke on="f"/>
            <v:imagedata r:id="rId45" o:title=""/>
            <o:lock v:ext="edit" aspectratio="t"/>
            <w10:wrap type="none"/>
            <w10:anchorlock/>
          </v:shape>
          <o:OLEObject Type="Embed" ProgID="Equation.KSEE3" ShapeID="_x0000_i1041" DrawAspect="Content" ObjectID="_1468075741" r:id="rId44">
            <o:LockedField>false</o:LockedField>
          </o:OLEObject>
        </w:object>
      </w:r>
      <w:r>
        <w:rPr>
          <w:color w:val="auto"/>
          <w:highlight w:val="none"/>
        </w:rPr>
        <w:t xml:space="preserve">     </w:t>
      </w:r>
      <w:r>
        <w:rPr>
          <w:rFonts w:hint="eastAsia"/>
          <w:color w:val="auto"/>
          <w:highlight w:val="none"/>
          <w:lang w:val="en-US" w:eastAsia="zh-CN"/>
        </w:rPr>
        <w:t xml:space="preserve">              </w:t>
      </w:r>
      <w:r>
        <w:rPr>
          <w:color w:val="auto"/>
          <w:highlight w:val="none"/>
        </w:rPr>
        <w:t xml:space="preserve">    </w:t>
      </w:r>
      <w:r>
        <w:rPr>
          <w:rFonts w:hint="eastAsia"/>
          <w:color w:val="auto"/>
          <w:highlight w:val="none"/>
          <w:lang w:val="en-US" w:eastAsia="zh-CN"/>
        </w:rPr>
        <w:t xml:space="preserve">            </w:t>
      </w:r>
      <w:r>
        <w:rPr>
          <w:rFonts w:hint="eastAsia"/>
          <w:color w:val="auto"/>
          <w:highlight w:val="none"/>
          <w:lang w:eastAsia="zh-CN"/>
        </w:rPr>
        <w:t>（</w:t>
      </w:r>
      <w:r>
        <w:rPr>
          <w:rFonts w:hint="eastAsia"/>
          <w:color w:val="auto"/>
          <w:highlight w:val="none"/>
          <w:lang w:val="en-US" w:eastAsia="zh-CN"/>
        </w:rPr>
        <w:t>D</w:t>
      </w:r>
      <w:r>
        <w:rPr>
          <w:color w:val="auto"/>
          <w:highlight w:val="none"/>
        </w:rPr>
        <w:t>.</w:t>
      </w:r>
      <w:r>
        <w:rPr>
          <w:color w:val="auto"/>
          <w:highlight w:val="none"/>
        </w:rPr>
        <w:fldChar w:fldCharType="begin"/>
      </w:r>
      <w:r>
        <w:rPr>
          <w:color w:val="auto"/>
          <w:highlight w:val="none"/>
        </w:rPr>
        <w:instrText xml:space="preserve"> </w:instrText>
      </w:r>
      <w:r>
        <w:rPr>
          <w:rFonts w:hint="eastAsia"/>
          <w:color w:val="auto"/>
          <w:highlight w:val="none"/>
        </w:rPr>
        <w:instrText xml:space="preserve">seq 附录公式 </w:instrText>
      </w:r>
      <w:r>
        <w:rPr>
          <w:color w:val="auto"/>
          <w:highlight w:val="none"/>
        </w:rPr>
        <w:instrText xml:space="preserve"> </w:instrText>
      </w:r>
      <w:r>
        <w:rPr>
          <w:color w:val="auto"/>
          <w:highlight w:val="none"/>
        </w:rPr>
        <w:fldChar w:fldCharType="separate"/>
      </w:r>
      <w:r>
        <w:rPr>
          <w:color w:val="auto"/>
          <w:highlight w:val="none"/>
        </w:rPr>
        <w:t>2</w:t>
      </w:r>
      <w:r>
        <w:rPr>
          <w:color w:val="auto"/>
          <w:highlight w:val="none"/>
        </w:rPr>
        <w:fldChar w:fldCharType="end"/>
      </w:r>
      <w:r>
        <w:rPr>
          <w:color w:val="auto"/>
          <w:highlight w:val="none"/>
        </w:rPr>
        <w:t>-1</w:t>
      </w:r>
      <w:r>
        <w:rPr>
          <w:rFonts w:hint="eastAsia"/>
          <w:color w:val="auto"/>
          <w:highlight w:val="none"/>
          <w:lang w:eastAsia="zh-CN"/>
        </w:rPr>
        <w:t>）</w:t>
      </w:r>
    </w:p>
    <w:p w14:paraId="02754DBF">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center"/>
        <w:rPr>
          <w:rFonts w:hint="eastAsia" w:ascii="Times New Roman"/>
          <w:color w:val="auto"/>
          <w:highlight w:val="none"/>
        </w:rPr>
      </w:pPr>
      <w:r>
        <w:rPr>
          <w:rFonts w:ascii="Times New Roman"/>
          <w:color w:val="auto"/>
          <w:highlight w:val="none"/>
        </w:rPr>
        <w:t>式中</w:t>
      </w:r>
      <w:r>
        <w:rPr>
          <w:rFonts w:hint="eastAsia" w:ascii="Times New Roman"/>
          <w:color w:val="auto"/>
          <w:highlight w:val="none"/>
        </w:rPr>
        <w:t>：</w:t>
      </w:r>
    </w:p>
    <w:p w14:paraId="25CF3E55">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center"/>
        <w:rPr>
          <w:rFonts w:hint="default" w:ascii="Times New Roman" w:hAnsi="Times New Roman" w:cs="Times New Roman"/>
          <w:color w:val="auto"/>
          <w:highlight w:val="none"/>
        </w:rPr>
      </w:pPr>
      <w:r>
        <w:rPr>
          <w:rFonts w:hint="default" w:ascii="Times New Roman" w:hAnsi="Times New Roman" w:cs="Times New Roman"/>
          <w:i/>
          <w:iCs/>
          <w:color w:val="auto"/>
          <w:highlight w:val="none"/>
        </w:rPr>
        <w:t>μ</w:t>
      </w:r>
      <w:r>
        <w:rPr>
          <w:rFonts w:hint="default" w:ascii="Times New Roman" w:hAnsi="Times New Roman" w:cs="Times New Roman"/>
          <w:color w:val="auto"/>
          <w:highlight w:val="none"/>
        </w:rPr>
        <w:t>——给水度；</w:t>
      </w:r>
    </w:p>
    <w:p w14:paraId="19CAE72E">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center"/>
        <w:rPr>
          <w:rFonts w:hint="default" w:ascii="Times New Roman" w:hAnsi="Times New Roman" w:cs="Times New Roman"/>
          <w:color w:val="auto"/>
          <w:highlight w:val="none"/>
        </w:rPr>
      </w:pPr>
      <w:r>
        <w:rPr>
          <w:rFonts w:hint="default" w:ascii="Times New Roman" w:hAnsi="Times New Roman" w:cs="Times New Roman"/>
          <w:i/>
          <w:iCs/>
          <w:color w:val="auto"/>
          <w:highlight w:val="none"/>
        </w:rPr>
        <w:t>Δω</w:t>
      </w:r>
      <w:r>
        <w:rPr>
          <w:rFonts w:hint="default" w:ascii="Times New Roman" w:hAnsi="Times New Roman" w:cs="Times New Roman"/>
          <w:color w:val="auto"/>
          <w:highlight w:val="none"/>
        </w:rPr>
        <w:t>——排水观测时段内从排水地段排出的总水量，</w:t>
      </w:r>
      <w:r>
        <w:rPr>
          <w:rFonts w:hint="default" w:ascii="Times New Roman" w:hAnsi="Times New Roman" w:cs="Times New Roman"/>
          <w:color w:val="auto"/>
          <w:highlight w:val="none"/>
          <w:lang w:val="en-US" w:eastAsia="zh-CN"/>
        </w:rPr>
        <w:t>m</w:t>
      </w:r>
      <w:r>
        <w:rPr>
          <w:rFonts w:hint="default" w:ascii="Times New Roman" w:hAnsi="Times New Roman" w:cs="Times New Roman"/>
          <w:color w:val="auto"/>
          <w:highlight w:val="none"/>
          <w:vertAlign w:val="superscript"/>
          <w:lang w:val="en-US" w:eastAsia="zh-CN"/>
        </w:rPr>
        <w:t>3</w:t>
      </w:r>
      <w:r>
        <w:rPr>
          <w:rFonts w:hint="default" w:ascii="Times New Roman" w:hAnsi="Times New Roman" w:cs="Times New Roman"/>
          <w:color w:val="auto"/>
          <w:highlight w:val="none"/>
        </w:rPr>
        <w:t>；</w:t>
      </w:r>
    </w:p>
    <w:p w14:paraId="2DDCA496">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center"/>
        <w:rPr>
          <w:rFonts w:hint="default" w:ascii="Times New Roman" w:hAnsi="Times New Roman" w:eastAsia="宋体" w:cs="Times New Roman"/>
          <w:color w:val="auto"/>
          <w:highlight w:val="none"/>
          <w:vertAlign w:val="baseline"/>
          <w:lang w:val="en-US" w:eastAsia="zh-CN"/>
        </w:rPr>
      </w:pPr>
      <w:r>
        <w:rPr>
          <w:rFonts w:hint="default" w:ascii="Times New Roman" w:hAnsi="Times New Roman" w:cs="Times New Roman"/>
          <w:color w:val="auto"/>
          <w:highlight w:val="none"/>
        </w:rPr>
        <w:t xml:space="preserve">   </w:t>
      </w:r>
      <w:r>
        <w:rPr>
          <w:rFonts w:hint="default" w:ascii="Times New Roman" w:hAnsi="Times New Roman" w:cs="Times New Roman"/>
          <w:i/>
          <w:iCs/>
          <w:color w:val="auto"/>
          <w:highlight w:val="none"/>
        </w:rPr>
        <w:t xml:space="preserve"> </w:t>
      </w:r>
      <w:r>
        <w:rPr>
          <w:rFonts w:hint="default" w:ascii="Times New Roman" w:hAnsi="Times New Roman" w:cs="Times New Roman"/>
          <w:i/>
          <w:iCs/>
          <w:color w:val="auto"/>
          <w:highlight w:val="none"/>
          <w:lang w:val="en-US" w:eastAsia="zh-CN"/>
        </w:rPr>
        <w:t>A</w:t>
      </w:r>
      <w:r>
        <w:rPr>
          <w:rFonts w:hint="default" w:ascii="Times New Roman" w:hAnsi="Times New Roman" w:cs="Times New Roman"/>
          <w:color w:val="auto"/>
          <w:highlight w:val="none"/>
        </w:rPr>
        <w:t>——排水地段控制面积，</w:t>
      </w:r>
      <w:r>
        <w:rPr>
          <w:rFonts w:hint="default" w:ascii="Times New Roman" w:hAnsi="Times New Roman" w:cs="Times New Roman"/>
          <w:color w:val="auto"/>
          <w:highlight w:val="none"/>
          <w:lang w:val="en-US" w:eastAsia="zh-CN"/>
        </w:rPr>
        <w:t>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vertAlign w:val="baseline"/>
          <w:lang w:val="en-US" w:eastAsia="zh-CN"/>
        </w:rPr>
        <w:t>；</w:t>
      </w:r>
    </w:p>
    <w:p w14:paraId="1B78B7FD">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textAlignment w:val="center"/>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 </w:t>
      </w:r>
      <w:r>
        <w:rPr>
          <w:rFonts w:hint="default" w:ascii="Times New Roman" w:hAnsi="Times New Roman" w:cs="Times New Roman"/>
          <w:i/>
          <w:iCs/>
          <w:color w:val="auto"/>
          <w:highlight w:val="none"/>
        </w:rPr>
        <w:t xml:space="preserve">   </w:t>
      </w:r>
      <w:r>
        <w:rPr>
          <w:rFonts w:hint="default" w:ascii="Times New Roman" w:hAnsi="Times New Roman" w:cs="Times New Roman"/>
          <w:i/>
          <w:iCs/>
          <w:color w:val="auto"/>
          <w:highlight w:val="none"/>
          <w:lang w:val="en-US" w:eastAsia="zh-CN"/>
        </w:rPr>
        <w:t>f</w:t>
      </w:r>
      <w:r>
        <w:rPr>
          <w:rFonts w:hint="default" w:ascii="Times New Roman" w:hAnsi="Times New Roman" w:cs="Times New Roman"/>
          <w:color w:val="auto"/>
          <w:highlight w:val="none"/>
        </w:rPr>
        <w:t>——排水观测时段内排水地段的地下水位平均降深值，m。</w:t>
      </w:r>
    </w:p>
    <w:p w14:paraId="309F4B5B">
      <w:pPr>
        <w:pStyle w:val="25"/>
        <w:keepNext w:val="0"/>
        <w:keepLines w:val="0"/>
        <w:pageBreakBefore w:val="0"/>
        <w:widowControl/>
        <w:kinsoku/>
        <w:wordWrap/>
        <w:overflowPunct/>
        <w:topLinePunct w:val="0"/>
        <w:autoSpaceDE w:val="0"/>
        <w:autoSpaceDN w:val="0"/>
        <w:bidi w:val="0"/>
        <w:spacing w:line="240" w:lineRule="auto"/>
        <w:ind w:firstLine="0" w:firstLineChars="0"/>
        <w:textAlignment w:val="center"/>
        <w:rPr>
          <w:rFonts w:hint="eastAsia" w:ascii="Times New Roman"/>
          <w:color w:val="auto"/>
          <w:highlight w:val="none"/>
        </w:rPr>
      </w:pPr>
      <w:r>
        <w:rPr>
          <w:rFonts w:hint="eastAsia" w:ascii="宋体" w:hAnsi="宋体" w:eastAsia="宋体" w:cs="宋体"/>
          <w:b/>
          <w:bCs/>
          <w:color w:val="auto"/>
          <w:highlight w:val="none"/>
          <w:lang w:val="en-US" w:eastAsia="zh-CN"/>
        </w:rPr>
        <w:t>D</w:t>
      </w:r>
      <w:r>
        <w:rPr>
          <w:rFonts w:hint="eastAsia" w:ascii="宋体" w:hAnsi="宋体" w:eastAsia="宋体" w:cs="宋体"/>
          <w:b/>
          <w:bCs/>
          <w:color w:val="auto"/>
          <w:highlight w:val="none"/>
        </w:rPr>
        <w:t xml:space="preserve">.3 </w:t>
      </w:r>
      <w:r>
        <w:rPr>
          <w:rFonts w:hint="eastAsia" w:ascii="宋体" w:hAnsi="宋体" w:eastAsia="宋体" w:cs="宋体"/>
          <w:color w:val="auto"/>
          <w:highlight w:val="none"/>
        </w:rPr>
        <w:t>纯蒸发时的水位降落计算法。在无排水工程的平原地区，可忽略地下径流的影响，认为地下水位的降落是纯蒸发作用的结果，因而可按式（</w:t>
      </w:r>
      <w:r>
        <w:rPr>
          <w:rFonts w:hint="eastAsia" w:ascii="宋体" w:hAnsi="宋体" w:eastAsia="宋体" w:cs="宋体"/>
          <w:color w:val="auto"/>
          <w:highlight w:val="none"/>
          <w:lang w:val="en-US" w:eastAsia="zh-CN"/>
        </w:rPr>
        <w:t>D</w:t>
      </w:r>
      <w:r>
        <w:rPr>
          <w:rFonts w:hint="eastAsia" w:ascii="宋体" w:hAnsi="宋体" w:eastAsia="宋体" w:cs="宋体"/>
          <w:color w:val="auto"/>
          <w:highlight w:val="none"/>
        </w:rPr>
        <w:t>.3-1）计算纯蒸发作用下的给水度：</w:t>
      </w:r>
    </w:p>
    <w:p w14:paraId="1CC54729">
      <w:pPr>
        <w:pStyle w:val="108"/>
        <w:jc w:val="right"/>
        <w:rPr>
          <w:rFonts w:hint="eastAsia"/>
          <w:color w:val="auto"/>
          <w:highlight w:val="none"/>
          <w:lang w:eastAsia="zh-CN"/>
        </w:rPr>
      </w:pPr>
      <w:r>
        <w:rPr>
          <w:color w:val="auto"/>
          <w:highlight w:val="none"/>
        </w:rPr>
        <w:tab/>
      </w:r>
      <w:r>
        <w:rPr>
          <w:color w:val="auto"/>
          <w:highlight w:val="none"/>
        </w:rPr>
        <w:object>
          <v:shape id="_x0000_i1042" o:spt="75" type="#_x0000_t75" style="height:32.9pt;width:83.2pt;" o:ole="t" filled="f" o:preferrelative="t" stroked="f" coordsize="21600,21600">
            <v:path/>
            <v:fill on="f" focussize="0,0"/>
            <v:stroke on="f"/>
            <v:imagedata r:id="rId47" o:title=""/>
            <o:lock v:ext="edit" aspectratio="t"/>
            <w10:wrap type="none"/>
            <w10:anchorlock/>
          </v:shape>
          <o:OLEObject Type="Embed" ProgID="Equation.KSEE3" ShapeID="_x0000_i1042" DrawAspect="Content" ObjectID="_1468075742" r:id="rId46">
            <o:LockedField>false</o:LockedField>
          </o:OLEObject>
        </w:object>
      </w:r>
      <w:r>
        <w:rPr>
          <w:color w:val="auto"/>
          <w:highlight w:val="none"/>
        </w:rPr>
        <w:t xml:space="preserve">    </w:t>
      </w:r>
      <w:r>
        <w:rPr>
          <w:rFonts w:hint="eastAsia"/>
          <w:color w:val="auto"/>
          <w:highlight w:val="none"/>
          <w:lang w:val="en-US" w:eastAsia="zh-CN"/>
        </w:rPr>
        <w:t xml:space="preserve">           </w:t>
      </w:r>
      <w:r>
        <w:rPr>
          <w:color w:val="auto"/>
          <w:highlight w:val="none"/>
        </w:rPr>
        <w:t xml:space="preserve">    </w:t>
      </w:r>
      <w:r>
        <w:rPr>
          <w:rFonts w:hint="eastAsia"/>
          <w:color w:val="auto"/>
          <w:highlight w:val="none"/>
          <w:lang w:val="en-US" w:eastAsia="zh-CN"/>
        </w:rPr>
        <w:t xml:space="preserve">            </w:t>
      </w:r>
      <w:r>
        <w:rPr>
          <w:rFonts w:hint="eastAsia"/>
          <w:color w:val="auto"/>
          <w:highlight w:val="none"/>
          <w:lang w:eastAsia="zh-CN"/>
        </w:rPr>
        <w:t>（</w:t>
      </w:r>
      <w:r>
        <w:rPr>
          <w:rFonts w:hint="eastAsia"/>
          <w:color w:val="auto"/>
          <w:highlight w:val="none"/>
          <w:lang w:val="en-US" w:eastAsia="zh-CN"/>
        </w:rPr>
        <w:t>D</w:t>
      </w:r>
      <w:r>
        <w:rPr>
          <w:color w:val="auto"/>
          <w:highlight w:val="none"/>
        </w:rPr>
        <w:t>.</w:t>
      </w:r>
      <w:r>
        <w:rPr>
          <w:color w:val="auto"/>
          <w:highlight w:val="none"/>
        </w:rPr>
        <w:fldChar w:fldCharType="begin"/>
      </w:r>
      <w:r>
        <w:rPr>
          <w:color w:val="auto"/>
          <w:highlight w:val="none"/>
        </w:rPr>
        <w:instrText xml:space="preserve"> </w:instrText>
      </w:r>
      <w:r>
        <w:rPr>
          <w:rFonts w:hint="eastAsia"/>
          <w:color w:val="auto"/>
          <w:highlight w:val="none"/>
        </w:rPr>
        <w:instrText xml:space="preserve">seq 附录公式 </w:instrText>
      </w:r>
      <w:r>
        <w:rPr>
          <w:color w:val="auto"/>
          <w:highlight w:val="none"/>
        </w:rPr>
        <w:instrText xml:space="preserve"> </w:instrText>
      </w:r>
      <w:r>
        <w:rPr>
          <w:color w:val="auto"/>
          <w:highlight w:val="none"/>
        </w:rPr>
        <w:fldChar w:fldCharType="separate"/>
      </w:r>
      <w:r>
        <w:rPr>
          <w:color w:val="auto"/>
          <w:highlight w:val="none"/>
        </w:rPr>
        <w:t>3</w:t>
      </w:r>
      <w:r>
        <w:rPr>
          <w:color w:val="auto"/>
          <w:highlight w:val="none"/>
        </w:rPr>
        <w:fldChar w:fldCharType="end"/>
      </w:r>
      <w:r>
        <w:rPr>
          <w:color w:val="auto"/>
          <w:highlight w:val="none"/>
        </w:rPr>
        <w:t>-1</w:t>
      </w:r>
      <w:r>
        <w:rPr>
          <w:rFonts w:hint="eastAsia"/>
          <w:color w:val="auto"/>
          <w:highlight w:val="none"/>
          <w:lang w:eastAsia="zh-CN"/>
        </w:rPr>
        <w:t>）</w:t>
      </w:r>
    </w:p>
    <w:p w14:paraId="0641D3FA">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式中：</w:t>
      </w:r>
    </w:p>
    <w:p w14:paraId="0E949D32">
      <w:pPr>
        <w:pStyle w:val="25"/>
        <w:keepNext w:val="0"/>
        <w:keepLines w:val="0"/>
        <w:pageBreakBefore w:val="0"/>
        <w:widowControl/>
        <w:kinsoku/>
        <w:wordWrap/>
        <w:overflowPunct/>
        <w:topLinePunct w:val="0"/>
        <w:autoSpaceDE w:val="0"/>
        <w:autoSpaceDN w:val="0"/>
        <w:bidi w:val="0"/>
        <w:adjustRightInd w:val="0"/>
        <w:snapToGrid w:val="0"/>
        <w:spacing w:line="240" w:lineRule="auto"/>
        <w:jc w:val="both"/>
        <w:textAlignment w:val="center"/>
        <w:rPr>
          <w:rFonts w:hint="default" w:ascii="Times New Roman" w:hAnsi="Times New Roman" w:eastAsia="宋体" w:cs="Times New Roman"/>
          <w:color w:val="auto"/>
          <w:highlight w:val="none"/>
        </w:rPr>
      </w:pPr>
      <w:r>
        <w:rPr>
          <w:rFonts w:hint="default" w:ascii="Times New Roman" w:hAnsi="Times New Roman" w:eastAsia="宋体" w:cs="Times New Roman"/>
          <w:i/>
          <w:iCs/>
          <w:color w:val="auto"/>
          <w:highlight w:val="none"/>
        </w:rPr>
        <w:t>ν</w:t>
      </w:r>
      <w:r>
        <w:rPr>
          <w:rFonts w:hint="default" w:ascii="Times New Roman" w:hAnsi="Times New Roman" w:eastAsia="宋体" w:cs="Times New Roman"/>
          <w:i/>
          <w:iCs/>
          <w:color w:val="auto"/>
          <w:highlight w:val="none"/>
          <w:vertAlign w:val="subscript"/>
          <w:lang w:val="en-US" w:eastAsia="zh-CN"/>
        </w:rPr>
        <w:t>h</w:t>
      </w:r>
      <w:r>
        <w:rPr>
          <w:rFonts w:hint="default" w:ascii="Times New Roman" w:hAnsi="Times New Roman" w:eastAsia="宋体" w:cs="Times New Roman"/>
          <w:color w:val="auto"/>
          <w:highlight w:val="none"/>
        </w:rPr>
        <w:t>——地下水埋深为h时受蒸发影响的地下水位下降度，m/d；</w:t>
      </w:r>
    </w:p>
    <w:p w14:paraId="6AE922FA">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jc w:val="both"/>
        <w:textAlignment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 xml:space="preserve">   </w:t>
      </w:r>
      <w:r>
        <w:rPr>
          <w:rFonts w:hint="default" w:ascii="Times New Roman" w:hAnsi="Times New Roman" w:eastAsia="宋体" w:cs="Times New Roman"/>
          <w:color w:val="auto"/>
          <w:highlight w:val="none"/>
          <w:lang w:val="en-US" w:eastAsia="zh-CN"/>
        </w:rPr>
        <w:t xml:space="preserve"> </w:t>
      </w:r>
      <w:r>
        <w:rPr>
          <w:rFonts w:hint="default" w:ascii="Times New Roman" w:hAnsi="Times New Roman" w:eastAsia="宋体" w:cs="Times New Roman"/>
          <w:i/>
          <w:iCs/>
          <w:color w:val="auto"/>
          <w:highlight w:val="none"/>
        </w:rPr>
        <w:t>ε</w:t>
      </w:r>
      <w:r>
        <w:rPr>
          <w:rFonts w:hint="default" w:ascii="Times New Roman" w:hAnsi="Times New Roman" w:eastAsia="宋体" w:cs="Times New Roman"/>
          <w:i/>
          <w:iCs/>
          <w:color w:val="auto"/>
          <w:highlight w:val="none"/>
          <w:vertAlign w:val="subscript"/>
          <w:lang w:val="en-US" w:eastAsia="zh-CN"/>
        </w:rPr>
        <w:t>0</w:t>
      </w:r>
      <w:r>
        <w:rPr>
          <w:rFonts w:hint="default" w:ascii="Times New Roman" w:hAnsi="Times New Roman" w:eastAsia="宋体" w:cs="Times New Roman"/>
          <w:color w:val="auto"/>
          <w:highlight w:val="none"/>
        </w:rPr>
        <w:t>——水面蒸发强度，m/d；</w:t>
      </w:r>
    </w:p>
    <w:p w14:paraId="20707213">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jc w:val="both"/>
        <w:textAlignment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 xml:space="preserve">    </w:t>
      </w:r>
      <w:r>
        <w:rPr>
          <w:rFonts w:hint="default" w:ascii="Times New Roman" w:hAnsi="Times New Roman" w:eastAsia="宋体" w:cs="Times New Roman"/>
          <w:i/>
          <w:iCs/>
          <w:color w:val="auto"/>
          <w:highlight w:val="none"/>
          <w:lang w:val="en-US" w:eastAsia="zh-CN"/>
        </w:rPr>
        <w:t>h</w:t>
      </w:r>
      <w:r>
        <w:rPr>
          <w:rFonts w:hint="default" w:ascii="Times New Roman" w:hAnsi="Times New Roman" w:eastAsia="宋体" w:cs="Times New Roman"/>
          <w:i/>
          <w:iCs/>
          <w:color w:val="auto"/>
          <w:highlight w:val="none"/>
          <w:vertAlign w:val="subscript"/>
          <w:lang w:val="en-US" w:eastAsia="zh-CN"/>
        </w:rPr>
        <w:t>ε</w:t>
      </w:r>
      <w:r>
        <w:rPr>
          <w:rFonts w:hint="default" w:ascii="Times New Roman" w:hAnsi="Times New Roman" w:eastAsia="宋体" w:cs="Times New Roman"/>
          <w:color w:val="auto"/>
          <w:highlight w:val="none"/>
        </w:rPr>
        <w:t>——地下水停止蒸发深度，m；</w:t>
      </w:r>
    </w:p>
    <w:p w14:paraId="5F887CB9">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jc w:val="both"/>
        <w:textAlignment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 xml:space="preserve">   </w:t>
      </w:r>
      <w:r>
        <w:rPr>
          <w:rFonts w:hint="default" w:ascii="Times New Roman" w:hAnsi="Times New Roman" w:eastAsia="宋体" w:cs="Times New Roman"/>
          <w:i/>
          <w:iCs/>
          <w:color w:val="auto"/>
          <w:highlight w:val="none"/>
        </w:rPr>
        <w:t xml:space="preserve"> n</w:t>
      </w:r>
      <w:r>
        <w:rPr>
          <w:rFonts w:hint="default" w:ascii="Times New Roman" w:hAnsi="Times New Roman" w:eastAsia="宋体" w:cs="Times New Roman"/>
          <w:color w:val="auto"/>
          <w:highlight w:val="none"/>
        </w:rPr>
        <w:t>——地下水蒸发指数，宜取。</w:t>
      </w:r>
    </w:p>
    <w:p w14:paraId="2F25034A">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center"/>
        <w:rPr>
          <w:rFonts w:hint="default" w:ascii="Times New Roman" w:hAnsi="Times New Roman" w:eastAsia="宋体" w:cs="Times New Roman"/>
          <w:color w:val="auto"/>
          <w:highlight w:val="none"/>
        </w:rPr>
      </w:pPr>
      <w:r>
        <w:rPr>
          <w:rFonts w:hint="default" w:ascii="Times New Roman" w:hAnsi="Times New Roman" w:eastAsia="宋体" w:cs="Times New Roman"/>
          <w:color w:val="auto"/>
          <w:highlight w:val="none"/>
        </w:rPr>
        <w:t>通过地下水位观测井（孔），每日定时量测地下水埋深数据，可得相邻两日地下水位的下降值，即该两日中第1天埋深为h的日下降速度</w:t>
      </w:r>
      <w:r>
        <w:rPr>
          <w:rFonts w:hint="default" w:ascii="Times New Roman" w:hAnsi="Times New Roman" w:eastAsia="宋体" w:cs="Times New Roman"/>
          <w:i/>
          <w:iCs/>
          <w:color w:val="auto"/>
          <w:highlight w:val="none"/>
        </w:rPr>
        <w:t>ν</w:t>
      </w:r>
      <w:r>
        <w:rPr>
          <w:rFonts w:hint="default" w:ascii="Times New Roman" w:hAnsi="Times New Roman" w:eastAsia="宋体" w:cs="Times New Roman"/>
          <w:i/>
          <w:iCs/>
          <w:color w:val="auto"/>
          <w:highlight w:val="none"/>
          <w:vertAlign w:val="subscript"/>
          <w:lang w:val="en-US" w:eastAsia="zh-CN"/>
        </w:rPr>
        <w:t>h</w:t>
      </w:r>
      <w:r>
        <w:rPr>
          <w:rFonts w:hint="default" w:ascii="Times New Roman" w:hAnsi="Times New Roman" w:eastAsia="宋体" w:cs="Times New Roman"/>
          <w:color w:val="auto"/>
          <w:highlight w:val="none"/>
        </w:rPr>
        <w:t>值，绘制</w:t>
      </w:r>
      <w:r>
        <w:rPr>
          <w:rFonts w:hint="default" w:ascii="Times New Roman" w:hAnsi="Times New Roman" w:eastAsia="宋体" w:cs="Times New Roman"/>
          <w:i/>
          <w:iCs/>
          <w:color w:val="auto"/>
          <w:highlight w:val="none"/>
        </w:rPr>
        <w:t>ν</w:t>
      </w:r>
      <w:r>
        <w:rPr>
          <w:rFonts w:hint="default" w:ascii="Times New Roman" w:hAnsi="Times New Roman" w:eastAsia="宋体" w:cs="Times New Roman"/>
          <w:i/>
          <w:iCs/>
          <w:color w:val="auto"/>
          <w:highlight w:val="none"/>
          <w:vertAlign w:val="subscript"/>
          <w:lang w:val="en-US" w:eastAsia="zh-CN"/>
        </w:rPr>
        <w:t>h</w:t>
      </w:r>
      <w:r>
        <w:rPr>
          <w:rFonts w:hint="default" w:ascii="Times New Roman" w:hAnsi="Times New Roman" w:eastAsia="宋体" w:cs="Times New Roman"/>
          <w:i/>
          <w:iCs/>
          <w:color w:val="auto"/>
          <w:highlight w:val="none"/>
          <w:vertAlign w:val="baseline"/>
          <w:lang w:val="en-US" w:eastAsia="zh-CN"/>
        </w:rPr>
        <w:t>-h</w:t>
      </w:r>
      <w:r>
        <w:rPr>
          <w:rFonts w:hint="default" w:ascii="Times New Roman" w:hAnsi="Times New Roman" w:eastAsia="宋体" w:cs="Times New Roman"/>
          <w:color w:val="auto"/>
          <w:highlight w:val="none"/>
        </w:rPr>
        <w:t>关系图，并将关系线顺势延长，与h轴的交点即</w:t>
      </w:r>
      <w:r>
        <w:rPr>
          <w:rFonts w:hint="default" w:ascii="Times New Roman" w:hAnsi="Times New Roman" w:eastAsia="宋体" w:cs="Times New Roman"/>
          <w:i/>
          <w:iCs/>
          <w:color w:val="auto"/>
          <w:highlight w:val="none"/>
          <w:lang w:val="en-US" w:eastAsia="zh-CN"/>
        </w:rPr>
        <w:t>h</w:t>
      </w:r>
      <w:r>
        <w:rPr>
          <w:rFonts w:hint="default" w:ascii="Times New Roman" w:hAnsi="Times New Roman" w:eastAsia="宋体" w:cs="Times New Roman"/>
          <w:i/>
          <w:iCs/>
          <w:color w:val="auto"/>
          <w:highlight w:val="none"/>
          <w:vertAlign w:val="subscript"/>
          <w:lang w:val="en-US" w:eastAsia="zh-CN"/>
        </w:rPr>
        <w:t>ε</w:t>
      </w:r>
      <w:r>
        <w:rPr>
          <w:rFonts w:hint="default" w:ascii="Times New Roman" w:hAnsi="Times New Roman" w:eastAsia="宋体" w:cs="Times New Roman"/>
          <w:color w:val="auto"/>
          <w:highlight w:val="none"/>
        </w:rPr>
        <w:t>值。当关系线为直线时，</w:t>
      </w:r>
      <w:r>
        <w:rPr>
          <w:rFonts w:hint="default" w:ascii="Times New Roman" w:hAnsi="Times New Roman" w:eastAsia="宋体" w:cs="Times New Roman"/>
          <w:i/>
          <w:iCs/>
          <w:color w:val="auto"/>
          <w:highlight w:val="none"/>
        </w:rPr>
        <w:t>n</w:t>
      </w:r>
      <w:r>
        <w:rPr>
          <w:rFonts w:hint="default" w:ascii="Times New Roman" w:hAnsi="Times New Roman" w:eastAsia="宋体" w:cs="Times New Roman"/>
          <w:color w:val="auto"/>
          <w:highlight w:val="none"/>
        </w:rPr>
        <w:t>=1，可直接用式</w:t>
      </w:r>
      <w:r>
        <w:rPr>
          <w:rFonts w:hint="eastAsia" w:ascii="宋体" w:hAnsi="宋体" w:eastAsia="宋体" w:cs="宋体"/>
          <w:color w:val="auto"/>
          <w:highlight w:val="none"/>
        </w:rPr>
        <w:t>（</w:t>
      </w:r>
      <w:r>
        <w:rPr>
          <w:rFonts w:hint="eastAsia" w:ascii="宋体" w:hAnsi="宋体" w:eastAsia="宋体" w:cs="宋体"/>
          <w:color w:val="auto"/>
          <w:highlight w:val="none"/>
          <w:lang w:val="en-US" w:eastAsia="zh-CN"/>
        </w:rPr>
        <w:t>D</w:t>
      </w:r>
      <w:r>
        <w:rPr>
          <w:rFonts w:hint="eastAsia" w:ascii="宋体" w:hAnsi="宋体" w:eastAsia="宋体" w:cs="宋体"/>
          <w:color w:val="auto"/>
          <w:highlight w:val="none"/>
        </w:rPr>
        <w:t>.3-1）</w:t>
      </w:r>
      <w:r>
        <w:rPr>
          <w:rFonts w:hint="default" w:ascii="Times New Roman" w:hAnsi="Times New Roman" w:eastAsia="宋体" w:cs="Times New Roman"/>
          <w:color w:val="auto"/>
          <w:highlight w:val="none"/>
        </w:rPr>
        <w:t>求得</w:t>
      </w:r>
      <w:r>
        <w:rPr>
          <w:rFonts w:hint="default" w:ascii="Times New Roman" w:hAnsi="Times New Roman" w:eastAsia="宋体" w:cs="Times New Roman"/>
          <w:i/>
          <w:iCs/>
          <w:color w:val="auto"/>
          <w:highlight w:val="none"/>
        </w:rPr>
        <w:t>µ</w:t>
      </w:r>
      <w:r>
        <w:rPr>
          <w:rFonts w:hint="default" w:ascii="Times New Roman" w:hAnsi="Times New Roman" w:eastAsia="宋体" w:cs="Times New Roman"/>
          <w:color w:val="auto"/>
          <w:highlight w:val="none"/>
        </w:rPr>
        <w:t>值；当关系线为曲线时，</w:t>
      </w:r>
      <w:r>
        <w:rPr>
          <w:rFonts w:hint="default" w:ascii="Times New Roman" w:hAnsi="Times New Roman" w:eastAsia="宋体" w:cs="Times New Roman"/>
          <w:i/>
          <w:iCs/>
          <w:color w:val="auto"/>
          <w:highlight w:val="none"/>
        </w:rPr>
        <w:t>n</w:t>
      </w:r>
      <w:r>
        <w:rPr>
          <w:rFonts w:hint="default" w:ascii="Times New Roman" w:hAnsi="Times New Roman" w:eastAsia="宋体" w:cs="Times New Roman"/>
          <w:color w:val="auto"/>
          <w:highlight w:val="none"/>
        </w:rPr>
        <w:t>&gt;1，这时可按等差级数选取不同的n值，用式（</w:t>
      </w:r>
      <w:r>
        <w:rPr>
          <w:rFonts w:hint="eastAsia" w:ascii="宋体" w:hAnsi="宋体" w:eastAsia="宋体" w:cs="宋体"/>
          <w:color w:val="auto"/>
          <w:highlight w:val="none"/>
          <w:lang w:val="en-US" w:eastAsia="zh-CN"/>
        </w:rPr>
        <w:t>D</w:t>
      </w:r>
      <w:r>
        <w:rPr>
          <w:rFonts w:hint="eastAsia" w:ascii="宋体" w:hAnsi="宋体" w:eastAsia="宋体" w:cs="宋体"/>
          <w:color w:val="auto"/>
          <w:highlight w:val="none"/>
        </w:rPr>
        <w:t>.3-1</w:t>
      </w:r>
      <w:r>
        <w:rPr>
          <w:rFonts w:hint="default" w:ascii="Times New Roman" w:hAnsi="Times New Roman" w:eastAsia="宋体" w:cs="Times New Roman"/>
          <w:color w:val="auto"/>
          <w:highlight w:val="none"/>
        </w:rPr>
        <w:t>）计算与不同</w:t>
      </w:r>
      <w:r>
        <w:rPr>
          <w:rFonts w:hint="default" w:ascii="Times New Roman" w:hAnsi="Times New Roman" w:eastAsia="宋体" w:cs="Times New Roman"/>
          <w:i/>
          <w:iCs/>
          <w:color w:val="auto"/>
          <w:highlight w:val="none"/>
        </w:rPr>
        <w:t>ν</w:t>
      </w:r>
      <w:r>
        <w:rPr>
          <w:rFonts w:hint="default" w:ascii="Times New Roman" w:hAnsi="Times New Roman" w:eastAsia="宋体" w:cs="Times New Roman"/>
          <w:i/>
          <w:iCs/>
          <w:color w:val="auto"/>
          <w:highlight w:val="none"/>
          <w:vertAlign w:val="subscript"/>
          <w:lang w:val="en-US" w:eastAsia="zh-CN"/>
        </w:rPr>
        <w:t>h</w:t>
      </w:r>
      <w:r>
        <w:rPr>
          <w:rFonts w:hint="default" w:ascii="Times New Roman" w:hAnsi="Times New Roman" w:eastAsia="宋体" w:cs="Times New Roman"/>
          <w:color w:val="auto"/>
          <w:highlight w:val="none"/>
        </w:rPr>
        <w:t>和h相对应时的µ值，直到假定的n值能使相邻两次计算得出的µ值相接近，可取平均</w:t>
      </w:r>
      <w:r>
        <w:rPr>
          <w:rFonts w:hint="default" w:ascii="Times New Roman" w:hAnsi="Times New Roman" w:eastAsia="宋体" w:cs="Times New Roman"/>
          <w:i/>
          <w:iCs/>
          <w:color w:val="auto"/>
          <w:highlight w:val="none"/>
        </w:rPr>
        <w:t>µ</w:t>
      </w:r>
      <w:r>
        <w:rPr>
          <w:rFonts w:hint="default" w:ascii="Times New Roman" w:hAnsi="Times New Roman" w:eastAsia="宋体" w:cs="Times New Roman"/>
          <w:color w:val="auto"/>
          <w:highlight w:val="none"/>
        </w:rPr>
        <w:t>值用于排水计算。由此可知，该方法在测算µ值的同时，即可求得地下水蒸发参数</w:t>
      </w:r>
      <w:r>
        <w:rPr>
          <w:rFonts w:hint="default" w:ascii="Times New Roman" w:hAnsi="Times New Roman" w:eastAsia="宋体" w:cs="Times New Roman"/>
          <w:i/>
          <w:iCs/>
          <w:color w:val="auto"/>
          <w:highlight w:val="none"/>
          <w:lang w:val="en-US" w:eastAsia="zh-CN"/>
        </w:rPr>
        <w:t>h</w:t>
      </w:r>
      <w:r>
        <w:rPr>
          <w:rFonts w:hint="default" w:ascii="Times New Roman" w:hAnsi="Times New Roman" w:eastAsia="宋体" w:cs="Times New Roman"/>
          <w:i/>
          <w:iCs/>
          <w:color w:val="auto"/>
          <w:highlight w:val="none"/>
          <w:vertAlign w:val="subscript"/>
          <w:lang w:val="en-US" w:eastAsia="zh-CN"/>
        </w:rPr>
        <w:t>ε</w:t>
      </w:r>
      <w:r>
        <w:rPr>
          <w:rFonts w:hint="default" w:ascii="Times New Roman" w:hAnsi="Times New Roman" w:eastAsia="宋体" w:cs="Times New Roman"/>
          <w:color w:val="auto"/>
          <w:highlight w:val="none"/>
        </w:rPr>
        <w:t>值和n值。在测定时段内，当水面蒸发强度较稳定时，测算的结果较好，测定的数据资料越多则测算的结果越接近实际。</w:t>
      </w:r>
    </w:p>
    <w:p w14:paraId="4AE6AD30">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0" w:firstLineChars="0"/>
        <w:rPr>
          <w:rFonts w:ascii="Times New Roman"/>
          <w:color w:val="auto"/>
          <w:szCs w:val="22"/>
          <w:highlight w:val="none"/>
        </w:rPr>
      </w:pPr>
      <w:r>
        <w:rPr>
          <w:rFonts w:hint="eastAsia" w:ascii="宋体" w:hAnsi="宋体" w:eastAsia="宋体" w:cs="宋体"/>
          <w:b/>
          <w:bCs/>
          <w:color w:val="auto"/>
          <w:szCs w:val="22"/>
          <w:highlight w:val="none"/>
          <w:lang w:val="en-US" w:eastAsia="zh-CN"/>
        </w:rPr>
        <w:t>D</w:t>
      </w:r>
      <w:r>
        <w:rPr>
          <w:rFonts w:hint="eastAsia" w:ascii="宋体" w:hAnsi="宋体" w:eastAsia="宋体" w:cs="宋体"/>
          <w:b/>
          <w:bCs/>
          <w:color w:val="auto"/>
          <w:szCs w:val="22"/>
          <w:highlight w:val="none"/>
        </w:rPr>
        <w:t>.4</w:t>
      </w:r>
      <w:r>
        <w:rPr>
          <w:rFonts w:ascii="Times New Roman"/>
          <w:color w:val="auto"/>
          <w:szCs w:val="22"/>
          <w:highlight w:val="none"/>
        </w:rPr>
        <w:t xml:space="preserve"> 土壤渗透系数与给水度的关系</w:t>
      </w:r>
    </w:p>
    <w:p w14:paraId="479CA33B">
      <w:pPr>
        <w:pStyle w:val="25"/>
        <w:keepNext w:val="0"/>
        <w:keepLines w:val="0"/>
        <w:pageBreakBefore w:val="0"/>
        <w:widowControl/>
        <w:kinsoku/>
        <w:wordWrap/>
        <w:overflowPunct/>
        <w:topLinePunct w:val="0"/>
        <w:autoSpaceDE w:val="0"/>
        <w:autoSpaceDN w:val="0"/>
        <w:bidi w:val="0"/>
        <w:adjustRightInd w:val="0"/>
        <w:snapToGrid w:val="0"/>
        <w:spacing w:line="240" w:lineRule="auto"/>
        <w:ind w:firstLine="420" w:firstLineChars="200"/>
        <w:rPr>
          <w:rFonts w:hint="default" w:ascii="Times New Roman" w:eastAsia="宋体"/>
          <w:color w:val="auto"/>
          <w:szCs w:val="22"/>
          <w:highlight w:val="none"/>
          <w:lang w:val="en-US" w:eastAsia="zh-CN"/>
        </w:rPr>
      </w:pPr>
      <w:r>
        <w:rPr>
          <w:rFonts w:hint="eastAsia" w:ascii="宋体" w:hAnsi="宋体" w:eastAsia="宋体" w:cs="宋体"/>
          <w:color w:val="auto"/>
          <w:szCs w:val="22"/>
          <w:highlight w:val="none"/>
        </w:rPr>
        <w:t>土壤的矿物成分，颗粒大小、级配分布，空隙情况都影响着给水度和导水度（渗透系数）。导水度的大小主要取决于岩土空隙的大小、形状和连通性，岩土空隙越大，导水度越大，透水性能越强。岩土颗粒对给水度的影响，主要表现在吸附水量的不同，颗粒小的吸附水量（持水量）多，相应的给水度就小，颗粒粗的吸附水量少，给水度则大。</w:t>
      </w:r>
      <w:r>
        <w:rPr>
          <w:rFonts w:hint="eastAsia" w:ascii="宋体" w:hAnsi="宋体" w:eastAsia="宋体" w:cs="宋体"/>
          <w:color w:val="auto"/>
          <w:szCs w:val="22"/>
          <w:highlight w:val="none"/>
          <w:lang w:val="en-US" w:eastAsia="zh-CN"/>
        </w:rPr>
        <w:t>图D.1为给水度</w:t>
      </w:r>
      <w:r>
        <w:rPr>
          <w:rFonts w:hint="eastAsia" w:ascii="宋体" w:hAnsi="宋体" w:eastAsia="宋体" w:cs="宋体"/>
          <w:i/>
          <w:iCs/>
          <w:color w:val="auto"/>
          <w:highlight w:val="none"/>
        </w:rPr>
        <w:t>µ</w:t>
      </w:r>
      <w:r>
        <w:rPr>
          <w:rFonts w:hint="eastAsia" w:ascii="宋体" w:hAnsi="宋体" w:eastAsia="宋体" w:cs="宋体"/>
          <w:i w:val="0"/>
          <w:iCs w:val="0"/>
          <w:color w:val="auto"/>
          <w:highlight w:val="none"/>
          <w:lang w:val="en-US" w:eastAsia="zh-CN"/>
        </w:rPr>
        <w:t>与倒水度</w:t>
      </w:r>
      <w:r>
        <w:rPr>
          <w:rFonts w:hint="eastAsia" w:ascii="宋体" w:hAnsi="宋体" w:eastAsia="宋体" w:cs="宋体"/>
          <w:i/>
          <w:iCs/>
          <w:color w:val="auto"/>
          <w:highlight w:val="none"/>
          <w:lang w:val="en-US" w:eastAsia="zh-CN"/>
        </w:rPr>
        <w:t>k</w:t>
      </w:r>
      <w:r>
        <w:rPr>
          <w:rFonts w:hint="eastAsia" w:ascii="宋体" w:hAnsi="宋体" w:eastAsia="宋体" w:cs="宋体"/>
          <w:i w:val="0"/>
          <w:iCs w:val="0"/>
          <w:color w:val="auto"/>
          <w:highlight w:val="none"/>
          <w:lang w:val="en-US" w:eastAsia="zh-CN"/>
        </w:rPr>
        <w:t>的关系曲线</w:t>
      </w:r>
      <w:r>
        <w:rPr>
          <w:rFonts w:hint="eastAsia" w:ascii="Times New Roman" w:hAnsi="Times New Roman" w:eastAsia="宋体" w:cs="Times New Roman"/>
          <w:i w:val="0"/>
          <w:iCs w:val="0"/>
          <w:color w:val="auto"/>
          <w:highlight w:val="none"/>
          <w:lang w:val="en-US" w:eastAsia="zh-CN"/>
        </w:rPr>
        <w:t>。</w:t>
      </w:r>
    </w:p>
    <w:p w14:paraId="53D9343F">
      <w:pPr>
        <w:pStyle w:val="25"/>
        <w:adjustRightInd w:val="0"/>
        <w:snapToGrid w:val="0"/>
        <w:ind w:firstLine="422"/>
        <w:jc w:val="center"/>
        <w:rPr>
          <w:rStyle w:val="37"/>
          <w:rFonts w:ascii="Times New Roman"/>
          <w:color w:val="auto"/>
          <w:highlight w:val="none"/>
        </w:rPr>
      </w:pPr>
      <w:r>
        <w:rPr>
          <w:rStyle w:val="37"/>
          <w:rFonts w:ascii="Times New Roman"/>
          <w:color w:val="auto"/>
          <w:highlight w:val="none"/>
        </w:rPr>
        <w:drawing>
          <wp:inline distT="0" distB="0" distL="114300" distR="114300">
            <wp:extent cx="4525645" cy="3392170"/>
            <wp:effectExtent l="0" t="0" r="8255" b="11430"/>
            <wp:docPr id="7" name="图片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92"/>
                    <pic:cNvPicPr>
                      <a:picLocks noChangeAspect="1"/>
                    </pic:cNvPicPr>
                  </pic:nvPicPr>
                  <pic:blipFill>
                    <a:blip r:embed="rId48"/>
                    <a:srcRect l="2171" t="12077" r="2864" b="3035"/>
                    <a:stretch>
                      <a:fillRect/>
                    </a:stretch>
                  </pic:blipFill>
                  <pic:spPr>
                    <a:xfrm>
                      <a:off x="0" y="0"/>
                      <a:ext cx="4525645" cy="3392170"/>
                    </a:xfrm>
                    <a:prstGeom prst="rect">
                      <a:avLst/>
                    </a:prstGeom>
                    <a:noFill/>
                    <a:ln>
                      <a:noFill/>
                    </a:ln>
                  </pic:spPr>
                </pic:pic>
              </a:graphicData>
            </a:graphic>
          </wp:inline>
        </w:drawing>
      </w:r>
    </w:p>
    <w:p w14:paraId="2093461E">
      <w:pPr>
        <w:autoSpaceDE w:val="0"/>
        <w:autoSpaceDN w:val="0"/>
        <w:adjustRightInd w:val="0"/>
        <w:snapToGrid w:val="0"/>
        <w:jc w:val="center"/>
        <w:rPr>
          <w:rFonts w:hint="default" w:ascii="黑体" w:hAnsi="黑体" w:eastAsia="黑体" w:cs="黑体"/>
          <w:color w:val="auto"/>
          <w:sz w:val="18"/>
          <w:szCs w:val="18"/>
          <w:highlight w:val="none"/>
          <w:lang w:val="en-US" w:eastAsia="zh-CN"/>
        </w:rPr>
      </w:pPr>
      <w:r>
        <w:rPr>
          <w:rFonts w:hint="eastAsia" w:ascii="黑体" w:hAnsi="黑体" w:eastAsia="黑体" w:cs="黑体"/>
          <w:color w:val="auto"/>
          <w:sz w:val="18"/>
          <w:szCs w:val="18"/>
          <w:highlight w:val="none"/>
          <w:lang w:val="en-US" w:eastAsia="zh-CN"/>
        </w:rPr>
        <w:t>图 D.1 给水度</w:t>
      </w:r>
      <w:r>
        <w:rPr>
          <w:rFonts w:hint="eastAsia" w:ascii="黑体" w:hAnsi="黑体" w:eastAsia="黑体" w:cs="黑体"/>
          <w:i/>
          <w:iCs/>
          <w:color w:val="auto"/>
          <w:sz w:val="18"/>
          <w:szCs w:val="18"/>
          <w:highlight w:val="none"/>
          <w:lang w:val="en-US" w:eastAsia="zh-CN"/>
        </w:rPr>
        <w:t>µ</w:t>
      </w:r>
      <w:r>
        <w:rPr>
          <w:rFonts w:hint="eastAsia" w:ascii="黑体" w:hAnsi="黑体" w:eastAsia="黑体" w:cs="黑体"/>
          <w:color w:val="auto"/>
          <w:sz w:val="18"/>
          <w:szCs w:val="18"/>
          <w:highlight w:val="none"/>
          <w:lang w:val="en-US" w:eastAsia="zh-CN"/>
        </w:rPr>
        <w:t>与倒水度</w:t>
      </w:r>
      <w:r>
        <w:rPr>
          <w:rFonts w:hint="eastAsia" w:ascii="黑体" w:hAnsi="黑体" w:eastAsia="黑体" w:cs="黑体"/>
          <w:i/>
          <w:iCs/>
          <w:color w:val="auto"/>
          <w:sz w:val="18"/>
          <w:szCs w:val="18"/>
          <w:highlight w:val="none"/>
          <w:lang w:val="en-US" w:eastAsia="zh-CN"/>
        </w:rPr>
        <w:t>k</w:t>
      </w:r>
      <w:r>
        <w:rPr>
          <w:rFonts w:hint="eastAsia" w:ascii="黑体" w:hAnsi="黑体" w:eastAsia="黑体" w:cs="黑体"/>
          <w:color w:val="auto"/>
          <w:sz w:val="18"/>
          <w:szCs w:val="18"/>
          <w:highlight w:val="none"/>
          <w:lang w:val="en-US" w:eastAsia="zh-CN"/>
        </w:rPr>
        <w:t>的关系曲线</w:t>
      </w:r>
    </w:p>
    <w:p w14:paraId="5D32A9EE">
      <w:pPr>
        <w:pStyle w:val="103"/>
        <w:rPr>
          <w:rFonts w:hint="eastAsia"/>
          <w:color w:val="auto"/>
          <w:highlight w:val="none"/>
        </w:rPr>
      </w:pPr>
    </w:p>
    <w:p w14:paraId="4E4DC66D">
      <w:pPr>
        <w:pStyle w:val="137"/>
        <w:rPr>
          <w:rFonts w:hint="eastAsia"/>
          <w:color w:val="auto"/>
          <w:highlight w:val="none"/>
        </w:rPr>
      </w:pPr>
    </w:p>
    <w:p w14:paraId="7F84BADF">
      <w:pPr>
        <w:pStyle w:val="75"/>
        <w:rPr>
          <w:rFonts w:hint="eastAsia"/>
          <w:color w:val="auto"/>
          <w:highlight w:val="none"/>
        </w:rPr>
      </w:pPr>
      <w:r>
        <w:rPr>
          <w:color w:val="auto"/>
          <w:highlight w:val="none"/>
        </w:rPr>
        <w:br w:type="textWrapping"/>
      </w:r>
      <w:r>
        <w:rPr>
          <w:rFonts w:hint="eastAsia"/>
          <w:color w:val="auto"/>
          <w:highlight w:val="none"/>
        </w:rPr>
        <w:t>（资料性附录）</w:t>
      </w:r>
      <w:r>
        <w:rPr>
          <w:color w:val="auto"/>
          <w:highlight w:val="none"/>
        </w:rPr>
        <w:br w:type="textWrapping"/>
      </w:r>
      <w:r>
        <w:rPr>
          <w:rFonts w:hint="eastAsia"/>
          <w:color w:val="auto"/>
          <w:highlight w:val="none"/>
        </w:rPr>
        <w:t>地下水矿化度和地下水临界深度测定方法</w:t>
      </w:r>
    </w:p>
    <w:p w14:paraId="178CEFB4">
      <w:pPr>
        <w:keepNext w:val="0"/>
        <w:keepLines w:val="0"/>
        <w:pageBreakBefore w:val="0"/>
        <w:kinsoku/>
        <w:wordWrap/>
        <w:overflowPunct/>
        <w:topLinePunct w:val="0"/>
        <w:bidi w:val="0"/>
        <w:spacing w:line="240" w:lineRule="auto"/>
        <w:jc w:val="left"/>
        <w:rPr>
          <w:b/>
          <w:bCs/>
          <w:color w:val="auto"/>
          <w:szCs w:val="21"/>
          <w:highlight w:val="none"/>
        </w:rPr>
      </w:pPr>
      <w:r>
        <w:rPr>
          <w:rFonts w:hint="eastAsia" w:ascii="宋体" w:hAnsi="宋体" w:eastAsia="宋体" w:cs="宋体"/>
          <w:b/>
          <w:bCs/>
          <w:color w:val="auto"/>
          <w:szCs w:val="21"/>
          <w:highlight w:val="none"/>
          <w:lang w:eastAsia="zh-CN"/>
        </w:rPr>
        <w:t>E.1</w:t>
      </w:r>
      <w:r>
        <w:rPr>
          <w:b/>
          <w:bCs/>
          <w:color w:val="auto"/>
          <w:szCs w:val="21"/>
          <w:highlight w:val="none"/>
        </w:rPr>
        <w:t xml:space="preserve"> 土壤地下水矿化度测定方法</w:t>
      </w:r>
    </w:p>
    <w:p w14:paraId="216A9DBF">
      <w:pPr>
        <w:keepNext w:val="0"/>
        <w:keepLines w:val="0"/>
        <w:pageBreakBefore w:val="0"/>
        <w:kinsoku/>
        <w:wordWrap/>
        <w:overflowPunct/>
        <w:topLinePunct w:val="0"/>
        <w:bidi w:val="0"/>
        <w:spacing w:line="240" w:lineRule="auto"/>
        <w:jc w:val="left"/>
        <w:rPr>
          <w:b/>
          <w:bCs/>
          <w:color w:val="auto"/>
          <w:szCs w:val="21"/>
          <w:highlight w:val="none"/>
        </w:rPr>
      </w:pPr>
      <w:r>
        <w:rPr>
          <w:rFonts w:hint="eastAsia" w:ascii="宋体" w:hAnsi="宋体" w:eastAsia="宋体" w:cs="宋体"/>
          <w:b/>
          <w:bCs/>
          <w:color w:val="auto"/>
          <w:szCs w:val="21"/>
          <w:highlight w:val="none"/>
          <w:lang w:eastAsia="zh-CN"/>
        </w:rPr>
        <w:t>E.1</w:t>
      </w:r>
      <w:r>
        <w:rPr>
          <w:rFonts w:hint="eastAsia" w:ascii="宋体" w:hAnsi="宋体" w:eastAsia="宋体" w:cs="宋体"/>
          <w:b/>
          <w:bCs/>
          <w:color w:val="auto"/>
          <w:szCs w:val="21"/>
          <w:highlight w:val="none"/>
        </w:rPr>
        <w:t>.1</w:t>
      </w:r>
      <w:r>
        <w:rPr>
          <w:b/>
          <w:bCs/>
          <w:color w:val="auto"/>
          <w:szCs w:val="21"/>
          <w:highlight w:val="none"/>
        </w:rPr>
        <w:t xml:space="preserve"> 方法要点</w:t>
      </w:r>
    </w:p>
    <w:p w14:paraId="4597C2F6">
      <w:pPr>
        <w:keepNext w:val="0"/>
        <w:keepLines w:val="0"/>
        <w:pageBreakBefore w:val="0"/>
        <w:kinsoku/>
        <w:wordWrap/>
        <w:overflowPunct/>
        <w:topLinePunct w:val="0"/>
        <w:bidi w:val="0"/>
        <w:spacing w:line="240" w:lineRule="auto"/>
        <w:ind w:firstLine="420" w:firstLineChars="200"/>
        <w:jc w:val="left"/>
        <w:rPr>
          <w:color w:val="auto"/>
          <w:szCs w:val="21"/>
          <w:highlight w:val="none"/>
        </w:rPr>
      </w:pPr>
      <w:r>
        <w:rPr>
          <w:color w:val="auto"/>
          <w:szCs w:val="21"/>
          <w:highlight w:val="none"/>
        </w:rPr>
        <w:t>在地下水观测井中提取地下水，用电导率仪测定其EC值。</w:t>
      </w:r>
    </w:p>
    <w:p w14:paraId="38BCF3AC">
      <w:pPr>
        <w:keepNext w:val="0"/>
        <w:keepLines w:val="0"/>
        <w:pageBreakBefore w:val="0"/>
        <w:kinsoku/>
        <w:wordWrap/>
        <w:overflowPunct/>
        <w:topLinePunct w:val="0"/>
        <w:bidi w:val="0"/>
        <w:spacing w:line="240" w:lineRule="auto"/>
        <w:jc w:val="left"/>
        <w:rPr>
          <w:b/>
          <w:bCs/>
          <w:color w:val="auto"/>
          <w:szCs w:val="21"/>
          <w:highlight w:val="none"/>
        </w:rPr>
      </w:pPr>
      <w:r>
        <w:rPr>
          <w:rFonts w:hint="eastAsia" w:ascii="宋体" w:hAnsi="宋体" w:eastAsia="宋体" w:cs="宋体"/>
          <w:b/>
          <w:bCs/>
          <w:color w:val="auto"/>
          <w:szCs w:val="21"/>
          <w:highlight w:val="none"/>
          <w:lang w:eastAsia="zh-CN"/>
        </w:rPr>
        <w:t>E.1</w:t>
      </w:r>
      <w:r>
        <w:rPr>
          <w:rFonts w:hint="eastAsia" w:ascii="宋体" w:hAnsi="宋体" w:eastAsia="宋体" w:cs="宋体"/>
          <w:b/>
          <w:bCs/>
          <w:color w:val="auto"/>
          <w:szCs w:val="21"/>
          <w:highlight w:val="none"/>
        </w:rPr>
        <w:t>.2</w:t>
      </w:r>
      <w:r>
        <w:rPr>
          <w:b/>
          <w:bCs/>
          <w:color w:val="auto"/>
          <w:szCs w:val="21"/>
          <w:highlight w:val="none"/>
        </w:rPr>
        <w:t xml:space="preserve"> 操作步骤</w:t>
      </w:r>
    </w:p>
    <w:p w14:paraId="6640B8A7">
      <w:pPr>
        <w:keepNext w:val="0"/>
        <w:keepLines w:val="0"/>
        <w:pageBreakBefore w:val="0"/>
        <w:kinsoku/>
        <w:wordWrap/>
        <w:overflowPunct/>
        <w:topLinePunct w:val="0"/>
        <w:bidi w:val="0"/>
        <w:spacing w:line="240" w:lineRule="auto"/>
        <w:jc w:val="left"/>
        <w:rPr>
          <w:b/>
          <w:bCs/>
          <w:color w:val="auto"/>
          <w:szCs w:val="21"/>
          <w:highlight w:val="none"/>
        </w:rPr>
      </w:pPr>
      <w:r>
        <w:rPr>
          <w:rFonts w:hint="eastAsia" w:ascii="宋体" w:hAnsi="宋体" w:eastAsia="宋体" w:cs="宋体"/>
          <w:b/>
          <w:bCs/>
          <w:color w:val="auto"/>
          <w:szCs w:val="21"/>
          <w:highlight w:val="none"/>
          <w:lang w:eastAsia="zh-CN"/>
        </w:rPr>
        <w:t>E.1</w:t>
      </w:r>
      <w:r>
        <w:rPr>
          <w:rFonts w:hint="eastAsia" w:ascii="宋体" w:hAnsi="宋体" w:eastAsia="宋体" w:cs="宋体"/>
          <w:b/>
          <w:bCs/>
          <w:color w:val="auto"/>
          <w:szCs w:val="21"/>
          <w:highlight w:val="none"/>
        </w:rPr>
        <w:t>.2.1</w:t>
      </w:r>
      <w:r>
        <w:rPr>
          <w:b/>
          <w:bCs/>
          <w:color w:val="auto"/>
          <w:szCs w:val="21"/>
          <w:highlight w:val="none"/>
        </w:rPr>
        <w:t xml:space="preserve"> 仪器设备</w:t>
      </w:r>
    </w:p>
    <w:p w14:paraId="62B7F3D7">
      <w:pPr>
        <w:keepNext w:val="0"/>
        <w:keepLines w:val="0"/>
        <w:pageBreakBefore w:val="0"/>
        <w:kinsoku/>
        <w:wordWrap/>
        <w:overflowPunct/>
        <w:topLinePunct w:val="0"/>
        <w:bidi w:val="0"/>
        <w:spacing w:line="240" w:lineRule="auto"/>
        <w:ind w:firstLine="420" w:firstLineChars="200"/>
        <w:jc w:val="left"/>
        <w:rPr>
          <w:color w:val="auto"/>
          <w:szCs w:val="21"/>
          <w:highlight w:val="none"/>
        </w:rPr>
      </w:pPr>
      <w:r>
        <w:rPr>
          <w:color w:val="auto"/>
          <w:szCs w:val="21"/>
          <w:highlight w:val="none"/>
        </w:rPr>
        <w:t>主要仪器设备有土钻、带过滤网PVC管、小石子或粗砂、提水桶或者抽水泵、电导率仪、记录表。</w:t>
      </w:r>
    </w:p>
    <w:p w14:paraId="04A44755">
      <w:pPr>
        <w:keepNext w:val="0"/>
        <w:keepLines w:val="0"/>
        <w:pageBreakBefore w:val="0"/>
        <w:kinsoku/>
        <w:wordWrap/>
        <w:overflowPunct/>
        <w:topLinePunct w:val="0"/>
        <w:bidi w:val="0"/>
        <w:spacing w:line="240" w:lineRule="auto"/>
        <w:jc w:val="left"/>
        <w:rPr>
          <w:b/>
          <w:bCs/>
          <w:color w:val="auto"/>
          <w:szCs w:val="21"/>
          <w:highlight w:val="none"/>
        </w:rPr>
      </w:pPr>
      <w:r>
        <w:rPr>
          <w:rFonts w:hint="eastAsia" w:ascii="宋体" w:hAnsi="宋体" w:eastAsia="宋体" w:cs="宋体"/>
          <w:b/>
          <w:bCs/>
          <w:color w:val="auto"/>
          <w:szCs w:val="21"/>
          <w:highlight w:val="none"/>
          <w:lang w:eastAsia="zh-CN"/>
        </w:rPr>
        <w:t>E.1</w:t>
      </w:r>
      <w:r>
        <w:rPr>
          <w:rFonts w:hint="eastAsia" w:ascii="宋体" w:hAnsi="宋体" w:eastAsia="宋体" w:cs="宋体"/>
          <w:b/>
          <w:bCs/>
          <w:color w:val="auto"/>
          <w:szCs w:val="21"/>
          <w:highlight w:val="none"/>
        </w:rPr>
        <w:t>.2.2</w:t>
      </w:r>
      <w:r>
        <w:rPr>
          <w:b/>
          <w:bCs/>
          <w:color w:val="auto"/>
          <w:szCs w:val="21"/>
          <w:highlight w:val="none"/>
        </w:rPr>
        <w:t xml:space="preserve"> 具体步骤</w:t>
      </w:r>
    </w:p>
    <w:p w14:paraId="2E48B280">
      <w:pPr>
        <w:pStyle w:val="85"/>
        <w:keepNext w:val="0"/>
        <w:keepLines w:val="0"/>
        <w:pageBreakBefore w:val="0"/>
        <w:numPr>
          <w:ilvl w:val="0"/>
          <w:numId w:val="0"/>
        </w:numPr>
        <w:tabs>
          <w:tab w:val="clear" w:pos="845"/>
        </w:tabs>
        <w:kinsoku/>
        <w:wordWrap/>
        <w:overflowPunct/>
        <w:topLinePunct w:val="0"/>
        <w:bidi w:val="0"/>
        <w:spacing w:line="240" w:lineRule="auto"/>
        <w:ind w:firstLine="420" w:firstLineChars="200"/>
        <w:rPr>
          <w:color w:val="auto"/>
          <w:highlight w:val="none"/>
        </w:rPr>
      </w:pPr>
      <w:r>
        <w:rPr>
          <w:rFonts w:hint="eastAsia"/>
          <w:color w:val="auto"/>
          <w:highlight w:val="none"/>
          <w:lang w:eastAsia="zh-CN"/>
        </w:rPr>
        <w:t>（</w:t>
      </w:r>
      <w:r>
        <w:rPr>
          <w:rFonts w:hint="eastAsia"/>
          <w:color w:val="auto"/>
          <w:highlight w:val="none"/>
          <w:lang w:val="en-US" w:eastAsia="zh-CN"/>
        </w:rPr>
        <w:t>1</w:t>
      </w:r>
      <w:r>
        <w:rPr>
          <w:rFonts w:hint="eastAsia"/>
          <w:color w:val="auto"/>
          <w:highlight w:val="none"/>
          <w:lang w:eastAsia="zh-CN"/>
        </w:rPr>
        <w:t>）</w:t>
      </w:r>
      <w:r>
        <w:rPr>
          <w:color w:val="auto"/>
          <w:highlight w:val="none"/>
        </w:rPr>
        <w:t>打开地下水位钻孔观测井的井盖，用提水桶或者抽水泵把井中的地下水抽干；</w:t>
      </w:r>
    </w:p>
    <w:p w14:paraId="5482B9FF">
      <w:pPr>
        <w:pStyle w:val="85"/>
        <w:keepNext w:val="0"/>
        <w:keepLines w:val="0"/>
        <w:pageBreakBefore w:val="0"/>
        <w:numPr>
          <w:ilvl w:val="0"/>
          <w:numId w:val="0"/>
        </w:numPr>
        <w:tabs>
          <w:tab w:val="clear" w:pos="845"/>
        </w:tabs>
        <w:kinsoku/>
        <w:wordWrap/>
        <w:overflowPunct/>
        <w:topLinePunct w:val="0"/>
        <w:bidi w:val="0"/>
        <w:spacing w:line="240" w:lineRule="auto"/>
        <w:ind w:left="426"/>
        <w:rPr>
          <w:color w:val="auto"/>
          <w:highlight w:val="none"/>
        </w:rPr>
      </w:pPr>
      <w:r>
        <w:rPr>
          <w:rFonts w:hint="eastAsia" w:ascii="Times New Roman"/>
          <w:color w:val="auto"/>
          <w:highlight w:val="none"/>
          <w:lang w:eastAsia="zh-CN"/>
        </w:rPr>
        <w:t>（</w:t>
      </w:r>
      <w:r>
        <w:rPr>
          <w:rFonts w:hint="eastAsia" w:ascii="Times New Roman"/>
          <w:color w:val="auto"/>
          <w:highlight w:val="none"/>
          <w:lang w:val="en-US" w:eastAsia="zh-CN"/>
        </w:rPr>
        <w:t>2</w:t>
      </w:r>
      <w:r>
        <w:rPr>
          <w:rFonts w:hint="eastAsia" w:ascii="Times New Roman"/>
          <w:color w:val="auto"/>
          <w:highlight w:val="none"/>
          <w:lang w:eastAsia="zh-CN"/>
        </w:rPr>
        <w:t>）</w:t>
      </w:r>
      <w:r>
        <w:rPr>
          <w:color w:val="auto"/>
          <w:highlight w:val="none"/>
        </w:rPr>
        <w:t>等待观测井中地下水重新渗满，恢复到平衡水位；</w:t>
      </w:r>
    </w:p>
    <w:p w14:paraId="5CD1F7D6">
      <w:pPr>
        <w:pStyle w:val="85"/>
        <w:keepNext w:val="0"/>
        <w:keepLines w:val="0"/>
        <w:pageBreakBefore w:val="0"/>
        <w:numPr>
          <w:ilvl w:val="0"/>
          <w:numId w:val="0"/>
        </w:numPr>
        <w:tabs>
          <w:tab w:val="clear" w:pos="845"/>
        </w:tabs>
        <w:kinsoku/>
        <w:wordWrap/>
        <w:overflowPunct/>
        <w:topLinePunct w:val="0"/>
        <w:bidi w:val="0"/>
        <w:spacing w:line="240" w:lineRule="auto"/>
        <w:ind w:left="426"/>
        <w:rPr>
          <w:color w:val="auto"/>
          <w:highlight w:val="none"/>
        </w:rPr>
      </w:pPr>
      <w:r>
        <w:rPr>
          <w:rFonts w:hint="eastAsia" w:ascii="Times New Roman"/>
          <w:color w:val="auto"/>
          <w:highlight w:val="none"/>
          <w:lang w:eastAsia="zh-CN"/>
        </w:rPr>
        <w:t>（</w:t>
      </w:r>
      <w:r>
        <w:rPr>
          <w:rFonts w:hint="eastAsia" w:ascii="Times New Roman"/>
          <w:color w:val="auto"/>
          <w:highlight w:val="none"/>
          <w:lang w:val="en-US" w:eastAsia="zh-CN"/>
        </w:rPr>
        <w:t>3</w:t>
      </w:r>
      <w:r>
        <w:rPr>
          <w:rFonts w:hint="eastAsia" w:ascii="Times New Roman"/>
          <w:color w:val="auto"/>
          <w:highlight w:val="none"/>
          <w:lang w:eastAsia="zh-CN"/>
        </w:rPr>
        <w:t>）</w:t>
      </w:r>
      <w:r>
        <w:rPr>
          <w:color w:val="auto"/>
          <w:highlight w:val="none"/>
        </w:rPr>
        <w:t>用提水桶或抽水泵提取地下水样；</w:t>
      </w:r>
    </w:p>
    <w:p w14:paraId="054647A8">
      <w:pPr>
        <w:pStyle w:val="85"/>
        <w:keepNext w:val="0"/>
        <w:keepLines w:val="0"/>
        <w:pageBreakBefore w:val="0"/>
        <w:numPr>
          <w:ilvl w:val="0"/>
          <w:numId w:val="0"/>
        </w:numPr>
        <w:tabs>
          <w:tab w:val="clear" w:pos="845"/>
        </w:tabs>
        <w:kinsoku/>
        <w:wordWrap/>
        <w:overflowPunct/>
        <w:topLinePunct w:val="0"/>
        <w:bidi w:val="0"/>
        <w:spacing w:line="240" w:lineRule="auto"/>
        <w:ind w:left="426"/>
        <w:rPr>
          <w:color w:val="auto"/>
          <w:highlight w:val="none"/>
        </w:rPr>
      </w:pPr>
      <w:r>
        <w:rPr>
          <w:rFonts w:hint="eastAsia" w:ascii="Times New Roman"/>
          <w:color w:val="auto"/>
          <w:highlight w:val="none"/>
          <w:lang w:eastAsia="zh-CN"/>
        </w:rPr>
        <w:t>（</w:t>
      </w:r>
      <w:r>
        <w:rPr>
          <w:rFonts w:hint="eastAsia" w:ascii="Times New Roman"/>
          <w:color w:val="auto"/>
          <w:highlight w:val="none"/>
          <w:lang w:val="en-US" w:eastAsia="zh-CN"/>
        </w:rPr>
        <w:t>4</w:t>
      </w:r>
      <w:r>
        <w:rPr>
          <w:rFonts w:hint="eastAsia" w:ascii="Times New Roman"/>
          <w:color w:val="auto"/>
          <w:highlight w:val="none"/>
          <w:lang w:eastAsia="zh-CN"/>
        </w:rPr>
        <w:t>）</w:t>
      </w:r>
      <w:r>
        <w:rPr>
          <w:color w:val="auto"/>
          <w:highlight w:val="none"/>
        </w:rPr>
        <w:t>用电导率仪测定其EC值，并记录</w:t>
      </w:r>
      <w:r>
        <w:rPr>
          <w:rFonts w:hint="eastAsia"/>
          <w:color w:val="auto"/>
          <w:highlight w:val="none"/>
        </w:rPr>
        <w:t>。</w:t>
      </w:r>
    </w:p>
    <w:p w14:paraId="1CAD0F87">
      <w:pPr>
        <w:keepNext w:val="0"/>
        <w:keepLines w:val="0"/>
        <w:pageBreakBefore w:val="0"/>
        <w:kinsoku/>
        <w:wordWrap/>
        <w:overflowPunct/>
        <w:topLinePunct w:val="0"/>
        <w:bidi w:val="0"/>
        <w:spacing w:line="240" w:lineRule="auto"/>
        <w:jc w:val="left"/>
        <w:rPr>
          <w:b/>
          <w:bCs/>
          <w:color w:val="auto"/>
          <w:szCs w:val="21"/>
          <w:highlight w:val="none"/>
        </w:rPr>
      </w:pPr>
      <w:r>
        <w:rPr>
          <w:rFonts w:hint="eastAsia" w:ascii="宋体" w:hAnsi="宋体" w:eastAsia="宋体" w:cs="宋体"/>
          <w:b/>
          <w:bCs/>
          <w:color w:val="auto"/>
          <w:szCs w:val="21"/>
          <w:highlight w:val="none"/>
          <w:lang w:eastAsia="zh-CN"/>
        </w:rPr>
        <w:t>E.2</w:t>
      </w:r>
      <w:r>
        <w:rPr>
          <w:b/>
          <w:bCs/>
          <w:color w:val="auto"/>
          <w:szCs w:val="21"/>
          <w:highlight w:val="none"/>
        </w:rPr>
        <w:t xml:space="preserve"> 土壤地下水临界深度测定方法</w:t>
      </w:r>
    </w:p>
    <w:p w14:paraId="06953F74">
      <w:pPr>
        <w:keepNext w:val="0"/>
        <w:keepLines w:val="0"/>
        <w:pageBreakBefore w:val="0"/>
        <w:kinsoku/>
        <w:wordWrap/>
        <w:overflowPunct/>
        <w:topLinePunct w:val="0"/>
        <w:bidi w:val="0"/>
        <w:spacing w:line="240" w:lineRule="auto"/>
        <w:jc w:val="left"/>
        <w:rPr>
          <w:b/>
          <w:bCs/>
          <w:color w:val="auto"/>
          <w:szCs w:val="21"/>
          <w:highlight w:val="none"/>
        </w:rPr>
      </w:pPr>
      <w:r>
        <w:rPr>
          <w:rFonts w:hint="eastAsia" w:ascii="宋体" w:hAnsi="宋体" w:eastAsia="宋体" w:cs="宋体"/>
          <w:b/>
          <w:bCs/>
          <w:color w:val="auto"/>
          <w:szCs w:val="21"/>
          <w:highlight w:val="none"/>
          <w:lang w:eastAsia="zh-CN"/>
        </w:rPr>
        <w:t>E.2</w:t>
      </w:r>
      <w:r>
        <w:rPr>
          <w:rFonts w:hint="eastAsia" w:ascii="宋体" w:hAnsi="宋体" w:eastAsia="宋体" w:cs="宋体"/>
          <w:b/>
          <w:bCs/>
          <w:color w:val="auto"/>
          <w:szCs w:val="21"/>
          <w:highlight w:val="none"/>
        </w:rPr>
        <w:t>.1</w:t>
      </w:r>
      <w:r>
        <w:rPr>
          <w:b/>
          <w:bCs/>
          <w:color w:val="auto"/>
          <w:szCs w:val="21"/>
          <w:highlight w:val="none"/>
        </w:rPr>
        <w:t xml:space="preserve"> 方法要点</w:t>
      </w:r>
    </w:p>
    <w:p w14:paraId="5C328D7C">
      <w:pPr>
        <w:keepNext w:val="0"/>
        <w:keepLines w:val="0"/>
        <w:pageBreakBefore w:val="0"/>
        <w:kinsoku/>
        <w:wordWrap/>
        <w:overflowPunct/>
        <w:topLinePunct w:val="0"/>
        <w:bidi w:val="0"/>
        <w:spacing w:line="240" w:lineRule="auto"/>
        <w:ind w:firstLine="420" w:firstLineChars="200"/>
        <w:jc w:val="left"/>
        <w:rPr>
          <w:rFonts w:hint="eastAsia"/>
          <w:color w:val="auto"/>
          <w:szCs w:val="21"/>
          <w:highlight w:val="none"/>
        </w:rPr>
      </w:pPr>
      <w:r>
        <w:rPr>
          <w:color w:val="auto"/>
          <w:szCs w:val="21"/>
          <w:highlight w:val="none"/>
        </w:rPr>
        <w:t>地下水临界深度根据土壤地质、地下水矿化度、降雨、灌溉蒸发和农业措施等因素，通过综合实验确定；或通过实地田间调查确定；或按式（</w:t>
      </w:r>
      <w:r>
        <w:rPr>
          <w:rFonts w:hint="eastAsia" w:ascii="宋体" w:hAnsi="宋体" w:eastAsia="宋体" w:cs="宋体"/>
          <w:color w:val="auto"/>
          <w:szCs w:val="21"/>
          <w:highlight w:val="none"/>
          <w:lang w:eastAsia="zh-CN"/>
        </w:rPr>
        <w:t>E.2</w:t>
      </w:r>
      <w:r>
        <w:rPr>
          <w:rFonts w:hint="eastAsia" w:ascii="宋体" w:hAnsi="宋体" w:eastAsia="宋体" w:cs="宋体"/>
          <w:color w:val="auto"/>
          <w:szCs w:val="21"/>
          <w:highlight w:val="none"/>
        </w:rPr>
        <w:t>-1</w:t>
      </w:r>
      <w:r>
        <w:rPr>
          <w:color w:val="auto"/>
          <w:szCs w:val="21"/>
          <w:highlight w:val="none"/>
        </w:rPr>
        <w:t>）近似估算</w:t>
      </w:r>
      <w:r>
        <w:rPr>
          <w:rFonts w:hint="eastAsia"/>
          <w:color w:val="auto"/>
          <w:szCs w:val="21"/>
          <w:highlight w:val="none"/>
        </w:rPr>
        <w:t>：</w:t>
      </w:r>
    </w:p>
    <w:p w14:paraId="56C87F63">
      <w:pPr>
        <w:pStyle w:val="108"/>
        <w:keepNext w:val="0"/>
        <w:keepLines w:val="0"/>
        <w:pageBreakBefore w:val="0"/>
        <w:kinsoku/>
        <w:wordWrap/>
        <w:overflowPunct/>
        <w:topLinePunct w:val="0"/>
        <w:bidi w:val="0"/>
        <w:spacing w:line="240" w:lineRule="auto"/>
        <w:jc w:val="right"/>
        <w:textAlignment w:val="bottom"/>
        <w:rPr>
          <w:rFonts w:hint="eastAsia"/>
          <w:color w:val="auto"/>
          <w:highlight w:val="none"/>
          <w:lang w:eastAsia="zh-CN"/>
        </w:rPr>
      </w:pPr>
      <w:r>
        <w:rPr>
          <w:color w:val="auto"/>
          <w:position w:val="-16"/>
          <w:highlight w:val="none"/>
        </w:rPr>
        <w:object>
          <v:shape id="_x0000_i1043" o:spt="75" type="#_x0000_t75" style="height:18.5pt;width:67.75pt;" o:ole="t" filled="f" o:preferrelative="t" stroked="f" coordsize="21600,21600">
            <v:path/>
            <v:fill on="f" focussize="0,0"/>
            <v:stroke on="f"/>
            <v:imagedata r:id="rId50" o:title=""/>
            <o:lock v:ext="edit" aspectratio="t"/>
            <w10:wrap type="none"/>
            <w10:anchorlock/>
          </v:shape>
          <o:OLEObject Type="Embed" ProgID="Equation.KSEE3" ShapeID="_x0000_i1043" DrawAspect="Content" ObjectID="_1468075743" r:id="rId49">
            <o:LockedField>false</o:LockedField>
          </o:OLEObject>
        </w:object>
      </w:r>
      <w:r>
        <w:rPr>
          <w:color w:val="auto"/>
          <w:highlight w:val="none"/>
        </w:rPr>
        <w:t xml:space="preserve">    </w:t>
      </w:r>
      <w:r>
        <w:rPr>
          <w:rFonts w:hint="eastAsia"/>
          <w:color w:val="auto"/>
          <w:highlight w:val="none"/>
          <w:lang w:val="en-US" w:eastAsia="zh-CN"/>
        </w:rPr>
        <w:t xml:space="preserve">                           </w:t>
      </w:r>
      <w:r>
        <w:rPr>
          <w:rFonts w:hint="eastAsia"/>
          <w:color w:val="auto"/>
          <w:highlight w:val="none"/>
          <w:lang w:eastAsia="zh-CN"/>
        </w:rPr>
        <w:t>（</w:t>
      </w:r>
      <w:r>
        <w:rPr>
          <w:rFonts w:hint="eastAsia"/>
          <w:color w:val="auto"/>
          <w:highlight w:val="none"/>
          <w:lang w:val="en-US" w:eastAsia="zh-CN"/>
        </w:rPr>
        <w:t>E</w:t>
      </w:r>
      <w:r>
        <w:rPr>
          <w:color w:val="auto"/>
          <w:highlight w:val="none"/>
        </w:rPr>
        <w:t>.2-</w:t>
      </w:r>
      <w:r>
        <w:rPr>
          <w:color w:val="auto"/>
          <w:highlight w:val="none"/>
        </w:rPr>
        <w:fldChar w:fldCharType="begin"/>
      </w:r>
      <w:r>
        <w:rPr>
          <w:color w:val="auto"/>
          <w:highlight w:val="none"/>
        </w:rPr>
        <w:instrText xml:space="preserve"> </w:instrText>
      </w:r>
      <w:r>
        <w:rPr>
          <w:rFonts w:hint="eastAsia"/>
          <w:color w:val="auto"/>
          <w:highlight w:val="none"/>
        </w:rPr>
        <w:instrText xml:space="preserve">seq 附录公式 \r 1</w:instrText>
      </w:r>
      <w:r>
        <w:rPr>
          <w:color w:val="auto"/>
          <w:highlight w:val="none"/>
        </w:rPr>
        <w:instrText xml:space="preserve"> </w:instrText>
      </w:r>
      <w:r>
        <w:rPr>
          <w:color w:val="auto"/>
          <w:highlight w:val="none"/>
        </w:rPr>
        <w:fldChar w:fldCharType="separate"/>
      </w:r>
      <w:r>
        <w:rPr>
          <w:color w:val="auto"/>
          <w:highlight w:val="none"/>
        </w:rPr>
        <w:t>1</w:t>
      </w:r>
      <w:r>
        <w:rPr>
          <w:color w:val="auto"/>
          <w:highlight w:val="none"/>
        </w:rPr>
        <w:fldChar w:fldCharType="end"/>
      </w:r>
      <w:r>
        <w:rPr>
          <w:rFonts w:hint="eastAsia"/>
          <w:color w:val="auto"/>
          <w:highlight w:val="none"/>
          <w:lang w:eastAsia="zh-CN"/>
        </w:rPr>
        <w:t>）</w:t>
      </w:r>
    </w:p>
    <w:p w14:paraId="6E657B75">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式中：</w:t>
      </w:r>
    </w:p>
    <w:p w14:paraId="2E9FA437">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center"/>
        <w:rPr>
          <w:rFonts w:hint="default" w:ascii="Times New Roman" w:hAnsi="Times New Roman" w:eastAsia="宋体" w:cs="Times New Roman"/>
          <w:i w:val="0"/>
          <w:iCs w:val="0"/>
          <w:color w:val="auto"/>
          <w:highlight w:val="none"/>
        </w:rPr>
      </w:pPr>
      <w:r>
        <w:rPr>
          <w:rFonts w:hint="default" w:ascii="Times New Roman" w:hAnsi="Times New Roman" w:eastAsia="宋体" w:cs="Times New Roman"/>
          <w:i/>
          <w:iCs/>
          <w:color w:val="auto"/>
          <w:highlight w:val="none"/>
          <w:lang w:val="en-US" w:eastAsia="zh-CN"/>
        </w:rPr>
        <w:t>h</w:t>
      </w:r>
      <w:r>
        <w:rPr>
          <w:rFonts w:hint="default" w:ascii="Times New Roman" w:hAnsi="Times New Roman" w:eastAsia="宋体" w:cs="Times New Roman"/>
          <w:i/>
          <w:iCs/>
          <w:color w:val="auto"/>
          <w:highlight w:val="none"/>
          <w:vertAlign w:val="subscript"/>
          <w:lang w:val="en-US" w:eastAsia="zh-CN"/>
        </w:rPr>
        <w:t>k</w:t>
      </w:r>
      <w:r>
        <w:rPr>
          <w:rFonts w:hint="default" w:ascii="Times New Roman" w:hAnsi="Times New Roman" w:eastAsia="宋体" w:cs="Times New Roman"/>
          <w:i w:val="0"/>
          <w:iCs w:val="0"/>
          <w:color w:val="auto"/>
          <w:highlight w:val="none"/>
        </w:rPr>
        <w:t>——地下水临界深度，m；</w:t>
      </w:r>
    </w:p>
    <w:p w14:paraId="1A406E0E">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center"/>
        <w:rPr>
          <w:rFonts w:hint="default" w:ascii="Times New Roman" w:hAnsi="Times New Roman" w:eastAsia="宋体" w:cs="Times New Roman"/>
          <w:i w:val="0"/>
          <w:iCs w:val="0"/>
          <w:color w:val="auto"/>
          <w:highlight w:val="none"/>
        </w:rPr>
      </w:pPr>
      <w:r>
        <w:rPr>
          <w:rFonts w:hint="default" w:ascii="Times New Roman" w:hAnsi="Times New Roman" w:eastAsia="宋体" w:cs="Times New Roman"/>
          <w:i/>
          <w:iCs/>
          <w:color w:val="auto"/>
          <w:highlight w:val="none"/>
          <w:lang w:val="en-US" w:eastAsia="zh-CN"/>
        </w:rPr>
        <w:t>h</w:t>
      </w:r>
      <w:r>
        <w:rPr>
          <w:rFonts w:hint="default" w:ascii="Times New Roman" w:hAnsi="Times New Roman" w:eastAsia="宋体" w:cs="Times New Roman"/>
          <w:i/>
          <w:iCs/>
          <w:color w:val="auto"/>
          <w:highlight w:val="none"/>
          <w:vertAlign w:val="subscript"/>
          <w:lang w:val="en-US" w:eastAsia="zh-CN"/>
        </w:rPr>
        <w:t>p</w:t>
      </w:r>
      <w:r>
        <w:rPr>
          <w:rFonts w:hint="default" w:ascii="Times New Roman" w:hAnsi="Times New Roman" w:eastAsia="宋体" w:cs="Times New Roman"/>
          <w:i w:val="0"/>
          <w:iCs w:val="0"/>
          <w:color w:val="auto"/>
          <w:highlight w:val="none"/>
        </w:rPr>
        <w:t>——Δ</w:t>
      </w:r>
      <w:r>
        <w:rPr>
          <w:rFonts w:hint="default" w:ascii="Times New Roman" w:hAnsi="Times New Roman" w:eastAsia="宋体" w:cs="Times New Roman"/>
          <w:i w:val="0"/>
          <w:iCs w:val="0"/>
          <w:color w:val="auto"/>
          <w:highlight w:val="none"/>
          <w:lang w:val="en-US" w:eastAsia="zh-CN"/>
        </w:rPr>
        <w:t>z</w:t>
      </w:r>
      <w:r>
        <w:rPr>
          <w:rFonts w:hint="default" w:ascii="Times New Roman" w:hAnsi="Times New Roman" w:eastAsia="宋体" w:cs="Times New Roman"/>
          <w:i w:val="0"/>
          <w:iCs w:val="0"/>
          <w:color w:val="auto"/>
          <w:highlight w:val="none"/>
        </w:rPr>
        <w:t>土壤毛管水上升高度（采用模拟实验或者田间试验测定），m；</w:t>
      </w:r>
    </w:p>
    <w:p w14:paraId="180E0B03">
      <w:pPr>
        <w:pStyle w:val="25"/>
        <w:keepNext w:val="0"/>
        <w:keepLines w:val="0"/>
        <w:pageBreakBefore w:val="0"/>
        <w:widowControl/>
        <w:kinsoku/>
        <w:wordWrap/>
        <w:overflowPunct/>
        <w:topLinePunct w:val="0"/>
        <w:autoSpaceDE w:val="0"/>
        <w:autoSpaceDN w:val="0"/>
        <w:bidi w:val="0"/>
        <w:adjustRightInd w:val="0"/>
        <w:snapToGrid w:val="0"/>
        <w:spacing w:line="240" w:lineRule="auto"/>
        <w:textAlignment w:val="center"/>
        <w:rPr>
          <w:rFonts w:hint="default" w:ascii="Times New Roman" w:hAnsi="Times New Roman" w:eastAsia="宋体" w:cs="Times New Roman"/>
          <w:i w:val="0"/>
          <w:iCs w:val="0"/>
          <w:color w:val="auto"/>
          <w:highlight w:val="none"/>
        </w:rPr>
      </w:pPr>
      <w:r>
        <w:rPr>
          <w:rFonts w:hint="default" w:ascii="Times New Roman" w:hAnsi="Times New Roman" w:eastAsia="宋体" w:cs="Times New Roman"/>
          <w:i w:val="0"/>
          <w:iCs w:val="0"/>
          <w:color w:val="auto"/>
          <w:highlight w:val="none"/>
        </w:rPr>
        <w:t>Δ</w:t>
      </w:r>
      <w:r>
        <w:rPr>
          <w:rFonts w:hint="default" w:ascii="Times New Roman" w:hAnsi="Times New Roman" w:eastAsia="宋体" w:cs="Times New Roman"/>
          <w:i w:val="0"/>
          <w:iCs w:val="0"/>
          <w:color w:val="auto"/>
          <w:highlight w:val="none"/>
          <w:lang w:val="en-US" w:eastAsia="zh-CN"/>
        </w:rPr>
        <w:t>z</w:t>
      </w:r>
      <w:r>
        <w:rPr>
          <w:rFonts w:hint="default" w:ascii="Times New Roman" w:hAnsi="Times New Roman" w:eastAsia="宋体" w:cs="Times New Roman"/>
          <w:i w:val="0"/>
          <w:iCs w:val="0"/>
          <w:color w:val="auto"/>
          <w:highlight w:val="none"/>
        </w:rPr>
        <w:t>——安全超高（在地下水矿化度低的地区可采用耕层厚度，在地下水矿化度高的地区宜采用作物根系主要活动层厚度），m；</w:t>
      </w:r>
    </w:p>
    <w:p w14:paraId="3092E83B">
      <w:pPr>
        <w:keepNext w:val="0"/>
        <w:keepLines w:val="0"/>
        <w:pageBreakBefore w:val="0"/>
        <w:kinsoku/>
        <w:wordWrap/>
        <w:overflowPunct/>
        <w:topLinePunct w:val="0"/>
        <w:bidi w:val="0"/>
        <w:spacing w:line="240" w:lineRule="auto"/>
        <w:ind w:firstLine="420" w:firstLineChars="200"/>
        <w:jc w:val="left"/>
        <w:rPr>
          <w:color w:val="auto"/>
          <w:szCs w:val="21"/>
          <w:highlight w:val="none"/>
        </w:rPr>
      </w:pPr>
      <w:r>
        <w:rPr>
          <w:color w:val="auto"/>
          <w:szCs w:val="21"/>
          <w:highlight w:val="none"/>
        </w:rPr>
        <w:t>当缺少上述资料时，一般通过查表法确定（见表</w:t>
      </w:r>
      <w:r>
        <w:rPr>
          <w:rFonts w:hint="eastAsia" w:ascii="宋体" w:hAnsi="宋体" w:eastAsia="宋体" w:cs="宋体"/>
          <w:color w:val="auto"/>
          <w:szCs w:val="21"/>
          <w:highlight w:val="none"/>
          <w:lang w:eastAsia="zh-CN"/>
        </w:rPr>
        <w:t>E.2</w:t>
      </w:r>
      <w:r>
        <w:rPr>
          <w:rFonts w:hint="eastAsia" w:ascii="宋体" w:hAnsi="宋体" w:eastAsia="宋体" w:cs="宋体"/>
          <w:color w:val="auto"/>
          <w:szCs w:val="21"/>
          <w:highlight w:val="none"/>
        </w:rPr>
        <w:t>-1</w:t>
      </w:r>
      <w:r>
        <w:rPr>
          <w:color w:val="auto"/>
          <w:szCs w:val="21"/>
          <w:highlight w:val="none"/>
        </w:rPr>
        <w:t>）。</w:t>
      </w:r>
    </w:p>
    <w:p w14:paraId="733D4B8D">
      <w:pPr>
        <w:pStyle w:val="139"/>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240" w:lineRule="auto"/>
        <w:jc w:val="center"/>
        <w:textAlignment w:val="auto"/>
        <w:rPr>
          <w:rFonts w:hint="eastAsia"/>
          <w:color w:val="auto"/>
          <w:sz w:val="18"/>
          <w:szCs w:val="18"/>
          <w:highlight w:val="none"/>
        </w:rPr>
      </w:pPr>
      <w:r>
        <w:rPr>
          <w:rFonts w:hint="eastAsia"/>
          <w:color w:val="auto"/>
          <w:sz w:val="18"/>
          <w:szCs w:val="18"/>
          <w:highlight w:val="none"/>
        </w:rPr>
        <w:t>表</w:t>
      </w:r>
      <w:r>
        <w:rPr>
          <w:rFonts w:hint="eastAsia"/>
          <w:color w:val="auto"/>
          <w:sz w:val="18"/>
          <w:szCs w:val="18"/>
          <w:highlight w:val="none"/>
          <w:lang w:eastAsia="zh-CN"/>
        </w:rPr>
        <w:t>E.2</w:t>
      </w:r>
      <w:r>
        <w:rPr>
          <w:color w:val="auto"/>
          <w:sz w:val="18"/>
          <w:szCs w:val="18"/>
          <w:highlight w:val="none"/>
        </w:rPr>
        <w:t>-1</w:t>
      </w:r>
      <w:r>
        <w:rPr>
          <w:rFonts w:hint="eastAsia"/>
          <w:color w:val="auto"/>
          <w:sz w:val="18"/>
          <w:szCs w:val="18"/>
          <w:highlight w:val="none"/>
        </w:rPr>
        <w:t xml:space="preserve"> 地下水临界深度</w:t>
      </w:r>
    </w:p>
    <w:tbl>
      <w:tblPr>
        <w:tblStyle w:val="34"/>
        <w:tblW w:w="60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4"/>
        <w:gridCol w:w="1378"/>
        <w:gridCol w:w="1281"/>
        <w:gridCol w:w="1291"/>
      </w:tblGrid>
      <w:tr w14:paraId="5959F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4" w:type="dxa"/>
            <w:vMerge w:val="restart"/>
            <w:vAlign w:val="center"/>
          </w:tcPr>
          <w:p w14:paraId="27B8B4B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rFonts w:hAnsi="宋体"/>
                <w:color w:val="auto"/>
                <w:sz w:val="18"/>
                <w:szCs w:val="18"/>
                <w:highlight w:val="none"/>
              </w:rPr>
              <w:t>地下水矿化度</w:t>
            </w:r>
            <w:r>
              <w:rPr>
                <w:color w:val="auto"/>
                <w:sz w:val="18"/>
                <w:szCs w:val="18"/>
                <w:highlight w:val="none"/>
              </w:rPr>
              <w:t>/</w:t>
            </w:r>
            <w:r>
              <w:rPr>
                <w:rFonts w:hAnsi="宋体"/>
                <w:color w:val="auto"/>
                <w:sz w:val="18"/>
                <w:szCs w:val="18"/>
                <w:highlight w:val="none"/>
              </w:rPr>
              <w:t>（</w:t>
            </w:r>
            <w:r>
              <w:rPr>
                <w:color w:val="auto"/>
                <w:highlight w:val="none"/>
              </w:rPr>
              <w:t>g·L</w:t>
            </w:r>
            <w:r>
              <w:rPr>
                <w:color w:val="auto"/>
                <w:highlight w:val="none"/>
                <w:vertAlign w:val="superscript"/>
              </w:rPr>
              <w:t>-1</w:t>
            </w:r>
            <w:r>
              <w:rPr>
                <w:rFonts w:hAnsi="宋体"/>
                <w:color w:val="auto"/>
                <w:sz w:val="18"/>
                <w:szCs w:val="18"/>
                <w:highlight w:val="none"/>
              </w:rPr>
              <w:t>）</w:t>
            </w:r>
          </w:p>
        </w:tc>
        <w:tc>
          <w:tcPr>
            <w:tcW w:w="3950" w:type="dxa"/>
            <w:gridSpan w:val="3"/>
            <w:vAlign w:val="center"/>
          </w:tcPr>
          <w:p w14:paraId="7245183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rFonts w:hAnsi="宋体"/>
                <w:color w:val="auto"/>
                <w:sz w:val="18"/>
                <w:szCs w:val="18"/>
                <w:highlight w:val="none"/>
              </w:rPr>
              <w:t>地下水临界深度</w:t>
            </w:r>
            <w:r>
              <w:rPr>
                <w:color w:val="auto"/>
                <w:sz w:val="18"/>
                <w:szCs w:val="18"/>
                <w:highlight w:val="none"/>
              </w:rPr>
              <w:t>/m</w:t>
            </w:r>
          </w:p>
        </w:tc>
      </w:tr>
      <w:tr w14:paraId="056C2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4" w:type="dxa"/>
            <w:vMerge w:val="continue"/>
            <w:vAlign w:val="center"/>
          </w:tcPr>
          <w:p w14:paraId="061DA9E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p>
        </w:tc>
        <w:tc>
          <w:tcPr>
            <w:tcW w:w="1378" w:type="dxa"/>
            <w:vAlign w:val="center"/>
          </w:tcPr>
          <w:p w14:paraId="2BEEE16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rFonts w:hAnsi="宋体"/>
                <w:color w:val="auto"/>
                <w:sz w:val="18"/>
                <w:szCs w:val="18"/>
                <w:highlight w:val="none"/>
              </w:rPr>
              <w:t>砂壤、轻壤</w:t>
            </w:r>
          </w:p>
        </w:tc>
        <w:tc>
          <w:tcPr>
            <w:tcW w:w="1281" w:type="dxa"/>
            <w:vAlign w:val="center"/>
          </w:tcPr>
          <w:p w14:paraId="34EC666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rFonts w:hAnsi="宋体"/>
                <w:color w:val="auto"/>
                <w:sz w:val="18"/>
                <w:szCs w:val="18"/>
                <w:highlight w:val="none"/>
              </w:rPr>
              <w:t>中壤</w:t>
            </w:r>
          </w:p>
        </w:tc>
        <w:tc>
          <w:tcPr>
            <w:tcW w:w="1291" w:type="dxa"/>
            <w:vAlign w:val="center"/>
          </w:tcPr>
          <w:p w14:paraId="0FB5530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rFonts w:hAnsi="宋体"/>
                <w:color w:val="auto"/>
                <w:sz w:val="18"/>
                <w:szCs w:val="18"/>
                <w:highlight w:val="none"/>
              </w:rPr>
              <w:t>重壤、黏土</w:t>
            </w:r>
          </w:p>
        </w:tc>
      </w:tr>
      <w:tr w14:paraId="7812F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4" w:type="dxa"/>
            <w:vAlign w:val="center"/>
          </w:tcPr>
          <w:p w14:paraId="66CD202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&lt;2</w:t>
            </w:r>
          </w:p>
        </w:tc>
        <w:tc>
          <w:tcPr>
            <w:tcW w:w="1378" w:type="dxa"/>
            <w:vAlign w:val="center"/>
          </w:tcPr>
          <w:p w14:paraId="7EE3837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1.8</w:t>
            </w:r>
            <w:r>
              <w:rPr>
                <w:rFonts w:hint="eastAsia"/>
                <w:color w:val="auto"/>
                <w:sz w:val="18"/>
                <w:szCs w:val="18"/>
                <w:highlight w:val="none"/>
              </w:rPr>
              <w:t>～</w:t>
            </w:r>
            <w:r>
              <w:rPr>
                <w:color w:val="auto"/>
                <w:sz w:val="18"/>
                <w:szCs w:val="18"/>
                <w:highlight w:val="none"/>
              </w:rPr>
              <w:t>2.1</w:t>
            </w:r>
          </w:p>
        </w:tc>
        <w:tc>
          <w:tcPr>
            <w:tcW w:w="1281" w:type="dxa"/>
            <w:vAlign w:val="center"/>
          </w:tcPr>
          <w:p w14:paraId="7778133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1.5</w:t>
            </w:r>
            <w:r>
              <w:rPr>
                <w:rFonts w:hint="eastAsia"/>
                <w:color w:val="auto"/>
                <w:sz w:val="18"/>
                <w:szCs w:val="18"/>
                <w:highlight w:val="none"/>
              </w:rPr>
              <w:t>～</w:t>
            </w:r>
            <w:r>
              <w:rPr>
                <w:color w:val="auto"/>
                <w:sz w:val="18"/>
                <w:szCs w:val="18"/>
                <w:highlight w:val="none"/>
              </w:rPr>
              <w:t>1.7</w:t>
            </w:r>
          </w:p>
        </w:tc>
        <w:tc>
          <w:tcPr>
            <w:tcW w:w="1291" w:type="dxa"/>
            <w:vAlign w:val="center"/>
          </w:tcPr>
          <w:p w14:paraId="6E0D7B1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1.0</w:t>
            </w:r>
            <w:r>
              <w:rPr>
                <w:rFonts w:hint="eastAsia"/>
                <w:color w:val="auto"/>
                <w:sz w:val="18"/>
                <w:szCs w:val="18"/>
                <w:highlight w:val="none"/>
              </w:rPr>
              <w:t>～</w:t>
            </w:r>
            <w:r>
              <w:rPr>
                <w:color w:val="auto"/>
                <w:sz w:val="18"/>
                <w:szCs w:val="18"/>
                <w:highlight w:val="none"/>
              </w:rPr>
              <w:t>1.2</w:t>
            </w:r>
          </w:p>
        </w:tc>
      </w:tr>
      <w:tr w14:paraId="26569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104" w:type="dxa"/>
            <w:vAlign w:val="center"/>
          </w:tcPr>
          <w:p w14:paraId="1B36867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2</w:t>
            </w:r>
            <w:r>
              <w:rPr>
                <w:rFonts w:hint="eastAsia"/>
                <w:color w:val="auto"/>
                <w:sz w:val="18"/>
                <w:szCs w:val="18"/>
                <w:highlight w:val="none"/>
              </w:rPr>
              <w:t>～</w:t>
            </w:r>
            <w:r>
              <w:rPr>
                <w:color w:val="auto"/>
                <w:sz w:val="18"/>
                <w:szCs w:val="18"/>
                <w:highlight w:val="none"/>
              </w:rPr>
              <w:t>5</w:t>
            </w:r>
          </w:p>
        </w:tc>
        <w:tc>
          <w:tcPr>
            <w:tcW w:w="1378" w:type="dxa"/>
            <w:vAlign w:val="center"/>
          </w:tcPr>
          <w:p w14:paraId="3527B17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2.1</w:t>
            </w:r>
            <w:r>
              <w:rPr>
                <w:rFonts w:hint="eastAsia"/>
                <w:color w:val="auto"/>
                <w:sz w:val="18"/>
                <w:szCs w:val="18"/>
                <w:highlight w:val="none"/>
              </w:rPr>
              <w:t>～</w:t>
            </w:r>
            <w:r>
              <w:rPr>
                <w:color w:val="auto"/>
                <w:sz w:val="18"/>
                <w:szCs w:val="18"/>
                <w:highlight w:val="none"/>
              </w:rPr>
              <w:t>2.3</w:t>
            </w:r>
          </w:p>
        </w:tc>
        <w:tc>
          <w:tcPr>
            <w:tcW w:w="1281" w:type="dxa"/>
            <w:vAlign w:val="center"/>
          </w:tcPr>
          <w:p w14:paraId="2A7E131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1.7</w:t>
            </w:r>
            <w:r>
              <w:rPr>
                <w:rFonts w:hint="eastAsia"/>
                <w:color w:val="auto"/>
                <w:sz w:val="18"/>
                <w:szCs w:val="18"/>
                <w:highlight w:val="none"/>
              </w:rPr>
              <w:t>～</w:t>
            </w:r>
            <w:r>
              <w:rPr>
                <w:color w:val="auto"/>
                <w:sz w:val="18"/>
                <w:szCs w:val="18"/>
                <w:highlight w:val="none"/>
              </w:rPr>
              <w:t>1.9</w:t>
            </w:r>
          </w:p>
        </w:tc>
        <w:tc>
          <w:tcPr>
            <w:tcW w:w="1291" w:type="dxa"/>
            <w:vAlign w:val="center"/>
          </w:tcPr>
          <w:p w14:paraId="54A0EAAA">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1.1</w:t>
            </w:r>
            <w:r>
              <w:rPr>
                <w:rFonts w:hint="eastAsia"/>
                <w:color w:val="auto"/>
                <w:sz w:val="18"/>
                <w:szCs w:val="18"/>
                <w:highlight w:val="none"/>
              </w:rPr>
              <w:t>～</w:t>
            </w:r>
            <w:r>
              <w:rPr>
                <w:color w:val="auto"/>
                <w:sz w:val="18"/>
                <w:szCs w:val="18"/>
                <w:highlight w:val="none"/>
              </w:rPr>
              <w:t>1.3</w:t>
            </w:r>
          </w:p>
        </w:tc>
      </w:tr>
      <w:tr w14:paraId="7F9DC5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4" w:type="dxa"/>
            <w:vAlign w:val="center"/>
          </w:tcPr>
          <w:p w14:paraId="2753CF0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5</w:t>
            </w:r>
            <w:r>
              <w:rPr>
                <w:rFonts w:hint="eastAsia"/>
                <w:color w:val="auto"/>
                <w:sz w:val="18"/>
                <w:szCs w:val="18"/>
                <w:highlight w:val="none"/>
              </w:rPr>
              <w:t>～</w:t>
            </w:r>
            <w:r>
              <w:rPr>
                <w:color w:val="auto"/>
                <w:sz w:val="18"/>
                <w:szCs w:val="18"/>
                <w:highlight w:val="none"/>
              </w:rPr>
              <w:t>10</w:t>
            </w:r>
          </w:p>
        </w:tc>
        <w:tc>
          <w:tcPr>
            <w:tcW w:w="1378" w:type="dxa"/>
            <w:vAlign w:val="center"/>
          </w:tcPr>
          <w:p w14:paraId="772BE86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2.3</w:t>
            </w:r>
            <w:r>
              <w:rPr>
                <w:rFonts w:hint="eastAsia"/>
                <w:color w:val="auto"/>
                <w:sz w:val="18"/>
                <w:szCs w:val="18"/>
                <w:highlight w:val="none"/>
              </w:rPr>
              <w:t>～</w:t>
            </w:r>
            <w:r>
              <w:rPr>
                <w:color w:val="auto"/>
                <w:sz w:val="18"/>
                <w:szCs w:val="18"/>
                <w:highlight w:val="none"/>
              </w:rPr>
              <w:t>2.6</w:t>
            </w:r>
          </w:p>
        </w:tc>
        <w:tc>
          <w:tcPr>
            <w:tcW w:w="1281" w:type="dxa"/>
            <w:vAlign w:val="center"/>
          </w:tcPr>
          <w:p w14:paraId="1837F04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1.8</w:t>
            </w:r>
            <w:r>
              <w:rPr>
                <w:rFonts w:hint="eastAsia"/>
                <w:color w:val="auto"/>
                <w:sz w:val="18"/>
                <w:szCs w:val="18"/>
                <w:highlight w:val="none"/>
              </w:rPr>
              <w:t>～</w:t>
            </w:r>
            <w:r>
              <w:rPr>
                <w:color w:val="auto"/>
                <w:sz w:val="18"/>
                <w:szCs w:val="18"/>
                <w:highlight w:val="none"/>
              </w:rPr>
              <w:t>2.0</w:t>
            </w:r>
          </w:p>
        </w:tc>
        <w:tc>
          <w:tcPr>
            <w:tcW w:w="1291" w:type="dxa"/>
            <w:vAlign w:val="center"/>
          </w:tcPr>
          <w:p w14:paraId="79FE693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1.2</w:t>
            </w:r>
            <w:r>
              <w:rPr>
                <w:rFonts w:hint="eastAsia"/>
                <w:color w:val="auto"/>
                <w:sz w:val="18"/>
                <w:szCs w:val="18"/>
                <w:highlight w:val="none"/>
              </w:rPr>
              <w:t>～</w:t>
            </w:r>
            <w:r>
              <w:rPr>
                <w:color w:val="auto"/>
                <w:sz w:val="18"/>
                <w:szCs w:val="18"/>
                <w:highlight w:val="none"/>
              </w:rPr>
              <w:t>1.4</w:t>
            </w:r>
          </w:p>
        </w:tc>
      </w:tr>
      <w:tr w14:paraId="1EBF3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04" w:type="dxa"/>
            <w:vAlign w:val="center"/>
          </w:tcPr>
          <w:p w14:paraId="39C7F00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&gt;10</w:t>
            </w:r>
          </w:p>
        </w:tc>
        <w:tc>
          <w:tcPr>
            <w:tcW w:w="1378" w:type="dxa"/>
            <w:vAlign w:val="center"/>
          </w:tcPr>
          <w:p w14:paraId="675791B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2.6</w:t>
            </w:r>
            <w:r>
              <w:rPr>
                <w:rFonts w:hint="eastAsia"/>
                <w:color w:val="auto"/>
                <w:sz w:val="18"/>
                <w:szCs w:val="18"/>
                <w:highlight w:val="none"/>
              </w:rPr>
              <w:t>～</w:t>
            </w:r>
            <w:r>
              <w:rPr>
                <w:color w:val="auto"/>
                <w:sz w:val="18"/>
                <w:szCs w:val="18"/>
                <w:highlight w:val="none"/>
              </w:rPr>
              <w:t>2.8</w:t>
            </w:r>
          </w:p>
        </w:tc>
        <w:tc>
          <w:tcPr>
            <w:tcW w:w="1281" w:type="dxa"/>
            <w:vAlign w:val="center"/>
          </w:tcPr>
          <w:p w14:paraId="7BAD2BA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2.0</w:t>
            </w:r>
            <w:r>
              <w:rPr>
                <w:rFonts w:hint="eastAsia"/>
                <w:color w:val="auto"/>
                <w:sz w:val="18"/>
                <w:szCs w:val="18"/>
                <w:highlight w:val="none"/>
              </w:rPr>
              <w:t>～</w:t>
            </w:r>
            <w:r>
              <w:rPr>
                <w:color w:val="auto"/>
                <w:sz w:val="18"/>
                <w:szCs w:val="18"/>
                <w:highlight w:val="none"/>
              </w:rPr>
              <w:t>2.2</w:t>
            </w:r>
          </w:p>
        </w:tc>
        <w:tc>
          <w:tcPr>
            <w:tcW w:w="1291" w:type="dxa"/>
            <w:vAlign w:val="center"/>
          </w:tcPr>
          <w:p w14:paraId="1C0E10D0">
            <w:pPr>
              <w:keepNext w:val="0"/>
              <w:keepLines w:val="0"/>
              <w:pageBreakBefore w:val="0"/>
              <w:widowControl w:val="0"/>
              <w:kinsoku/>
              <w:wordWrap/>
              <w:overflowPunct/>
              <w:topLinePunct w:val="0"/>
              <w:autoSpaceDE/>
              <w:autoSpaceDN/>
              <w:bidi w:val="0"/>
              <w:adjustRightInd/>
              <w:snapToGrid/>
              <w:spacing w:line="240" w:lineRule="auto"/>
              <w:jc w:val="center"/>
              <w:textAlignment w:val="auto"/>
              <w:rPr>
                <w:color w:val="auto"/>
                <w:sz w:val="18"/>
                <w:szCs w:val="18"/>
                <w:highlight w:val="none"/>
              </w:rPr>
            </w:pPr>
            <w:r>
              <w:rPr>
                <w:color w:val="auto"/>
                <w:sz w:val="18"/>
                <w:szCs w:val="18"/>
                <w:highlight w:val="none"/>
              </w:rPr>
              <w:t>1.3</w:t>
            </w:r>
            <w:r>
              <w:rPr>
                <w:rFonts w:hint="eastAsia"/>
                <w:color w:val="auto"/>
                <w:sz w:val="18"/>
                <w:szCs w:val="18"/>
                <w:highlight w:val="none"/>
              </w:rPr>
              <w:t>～</w:t>
            </w:r>
            <w:r>
              <w:rPr>
                <w:color w:val="auto"/>
                <w:sz w:val="18"/>
                <w:szCs w:val="18"/>
                <w:highlight w:val="none"/>
              </w:rPr>
              <w:t>1.5</w:t>
            </w:r>
          </w:p>
        </w:tc>
      </w:tr>
    </w:tbl>
    <w:p w14:paraId="7F1B19A5">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bCs/>
          <w:color w:val="auto"/>
          <w:szCs w:val="21"/>
          <w:highlight w:val="none"/>
        </w:rPr>
      </w:pPr>
      <w:r>
        <w:rPr>
          <w:rFonts w:hint="eastAsia" w:ascii="宋体" w:hAnsi="宋体" w:eastAsia="宋体" w:cs="宋体"/>
          <w:b/>
          <w:bCs/>
          <w:color w:val="auto"/>
          <w:szCs w:val="21"/>
          <w:highlight w:val="none"/>
          <w:lang w:eastAsia="zh-CN"/>
        </w:rPr>
        <w:t>E.2</w:t>
      </w:r>
      <w:r>
        <w:rPr>
          <w:rFonts w:hint="eastAsia" w:ascii="宋体" w:hAnsi="宋体" w:eastAsia="宋体" w:cs="宋体"/>
          <w:b/>
          <w:bCs/>
          <w:color w:val="auto"/>
          <w:szCs w:val="21"/>
          <w:highlight w:val="none"/>
        </w:rPr>
        <w:t>.2</w:t>
      </w:r>
      <w:r>
        <w:rPr>
          <w:b/>
          <w:bCs/>
          <w:color w:val="auto"/>
          <w:szCs w:val="21"/>
          <w:highlight w:val="none"/>
        </w:rPr>
        <w:t xml:space="preserve"> </w:t>
      </w:r>
      <w:r>
        <w:rPr>
          <w:rFonts w:hint="default" w:ascii="Times New Roman" w:hAnsi="Times New Roman" w:eastAsia="宋体" w:cs="Times New Roman"/>
          <w:b/>
          <w:bCs/>
          <w:color w:val="auto"/>
          <w:szCs w:val="21"/>
          <w:highlight w:val="none"/>
        </w:rPr>
        <w:t>操作步骤</w:t>
      </w:r>
    </w:p>
    <w:p w14:paraId="1E096832">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bCs/>
          <w:color w:val="auto"/>
          <w:szCs w:val="21"/>
          <w:highlight w:val="none"/>
        </w:rPr>
      </w:pPr>
      <w:r>
        <w:rPr>
          <w:rFonts w:hint="eastAsia" w:ascii="宋体" w:hAnsi="宋体" w:eastAsia="宋体" w:cs="宋体"/>
          <w:b/>
          <w:bCs/>
          <w:color w:val="auto"/>
          <w:szCs w:val="21"/>
          <w:highlight w:val="none"/>
          <w:lang w:eastAsia="zh-CN"/>
        </w:rPr>
        <w:t>E.2</w:t>
      </w:r>
      <w:r>
        <w:rPr>
          <w:rFonts w:hint="eastAsia" w:ascii="宋体" w:hAnsi="宋体" w:eastAsia="宋体" w:cs="宋体"/>
          <w:b/>
          <w:bCs/>
          <w:color w:val="auto"/>
          <w:szCs w:val="21"/>
          <w:highlight w:val="none"/>
        </w:rPr>
        <w:t>.2.1</w:t>
      </w:r>
      <w:r>
        <w:rPr>
          <w:rFonts w:hint="default" w:ascii="Times New Roman" w:hAnsi="Times New Roman" w:eastAsia="宋体" w:cs="Times New Roman"/>
          <w:b/>
          <w:bCs/>
          <w:color w:val="auto"/>
          <w:szCs w:val="21"/>
          <w:highlight w:val="none"/>
        </w:rPr>
        <w:t xml:space="preserve"> 方法资料</w:t>
      </w:r>
    </w:p>
    <w:p w14:paraId="7FB28F7F">
      <w:pPr>
        <w:keepNext w:val="0"/>
        <w:keepLines w:val="0"/>
        <w:pageBreakBefore w:val="0"/>
        <w:kinsoku/>
        <w:wordWrap/>
        <w:overflowPunct/>
        <w:topLinePunct w:val="0"/>
        <w:autoSpaceDE/>
        <w:autoSpaceDN/>
        <w:bidi w:val="0"/>
        <w:adjustRightInd/>
        <w:snapToGrid/>
        <w:spacing w:line="240" w:lineRule="auto"/>
        <w:ind w:firstLine="420" w:firstLineChars="200"/>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土壤机械组成测定值、国际制土壤质地分类标准、地下水矿化度测定值、地下水临界深度表。</w:t>
      </w:r>
    </w:p>
    <w:p w14:paraId="53E68D6D">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bCs/>
          <w:color w:val="auto"/>
          <w:szCs w:val="21"/>
          <w:highlight w:val="none"/>
        </w:rPr>
      </w:pPr>
      <w:r>
        <w:rPr>
          <w:rFonts w:hint="eastAsia" w:ascii="宋体" w:hAnsi="宋体" w:eastAsia="宋体" w:cs="宋体"/>
          <w:b/>
          <w:bCs/>
          <w:color w:val="auto"/>
          <w:szCs w:val="21"/>
          <w:highlight w:val="none"/>
          <w:lang w:eastAsia="zh-CN"/>
        </w:rPr>
        <w:t>E.2</w:t>
      </w:r>
      <w:r>
        <w:rPr>
          <w:rFonts w:hint="eastAsia" w:ascii="宋体" w:hAnsi="宋体" w:eastAsia="宋体" w:cs="宋体"/>
          <w:b/>
          <w:bCs/>
          <w:color w:val="auto"/>
          <w:szCs w:val="21"/>
          <w:highlight w:val="none"/>
        </w:rPr>
        <w:t>.2.2</w:t>
      </w:r>
      <w:r>
        <w:rPr>
          <w:rFonts w:hint="default" w:ascii="Times New Roman" w:hAnsi="Times New Roman" w:eastAsia="宋体" w:cs="Times New Roman"/>
          <w:b/>
          <w:bCs/>
          <w:color w:val="auto"/>
          <w:szCs w:val="21"/>
          <w:highlight w:val="none"/>
        </w:rPr>
        <w:t xml:space="preserve"> 具体步骤</w:t>
      </w:r>
    </w:p>
    <w:p w14:paraId="590A280D">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left="845" w:hanging="419"/>
        <w:textAlignment w:val="auto"/>
        <w:rPr>
          <w:rFonts w:hint="default" w:ascii="Times New Roman" w:hAnsi="Times New Roman" w:eastAsia="宋体" w:cs="Times New Roman"/>
          <w:color w:val="auto"/>
          <w:highlight w:val="none"/>
        </w:rPr>
      </w:pPr>
      <w:r>
        <w:rPr>
          <w:rFonts w:hint="eastAsia" w:ascii="Times New Roman" w:cs="Times New Roman"/>
          <w:color w:val="auto"/>
          <w:highlight w:val="none"/>
          <w:lang w:eastAsia="zh-CN"/>
        </w:rPr>
        <w:t>（</w:t>
      </w:r>
      <w:r>
        <w:rPr>
          <w:rFonts w:hint="eastAsia" w:ascii="Times New Roman" w:cs="Times New Roman"/>
          <w:color w:val="auto"/>
          <w:highlight w:val="none"/>
          <w:lang w:val="en-US" w:eastAsia="zh-CN"/>
        </w:rPr>
        <w:t>1</w:t>
      </w:r>
      <w:r>
        <w:rPr>
          <w:rFonts w:hint="eastAsia" w:ascii="Times New Roman" w:cs="Times New Roman"/>
          <w:color w:val="auto"/>
          <w:highlight w:val="none"/>
          <w:lang w:eastAsia="zh-CN"/>
        </w:rPr>
        <w:t>）</w:t>
      </w:r>
      <w:r>
        <w:rPr>
          <w:rFonts w:hint="default" w:ascii="Times New Roman" w:hAnsi="Times New Roman" w:eastAsia="宋体" w:cs="Times New Roman"/>
          <w:color w:val="auto"/>
          <w:highlight w:val="none"/>
        </w:rPr>
        <w:t>根据土壤质地测定数值确定土壤质地类型；</w:t>
      </w:r>
    </w:p>
    <w:p w14:paraId="4669D11A">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cs="Times New Roman"/>
          <w:color w:val="auto"/>
          <w:highlight w:val="none"/>
          <w:lang w:eastAsia="zh-CN"/>
        </w:rPr>
        <w:t>（</w:t>
      </w:r>
      <w:r>
        <w:rPr>
          <w:rFonts w:hint="eastAsia" w:ascii="Times New Roman" w:cs="Times New Roman"/>
          <w:color w:val="auto"/>
          <w:highlight w:val="none"/>
          <w:lang w:val="en-US" w:eastAsia="zh-CN"/>
        </w:rPr>
        <w:t>2</w:t>
      </w:r>
      <w:r>
        <w:rPr>
          <w:rFonts w:hint="eastAsia" w:ascii="Times New Roman" w:cs="Times New Roman"/>
          <w:color w:val="auto"/>
          <w:highlight w:val="none"/>
          <w:lang w:eastAsia="zh-CN"/>
        </w:rPr>
        <w:t>）</w:t>
      </w:r>
      <w:r>
        <w:rPr>
          <w:rFonts w:hint="default" w:ascii="Times New Roman" w:hAnsi="Times New Roman" w:eastAsia="宋体" w:cs="Times New Roman"/>
          <w:color w:val="auto"/>
          <w:highlight w:val="none"/>
        </w:rPr>
        <w:t>根据地下水矿化度测定数值确定地下水矿化度所在的范围；</w:t>
      </w:r>
    </w:p>
    <w:p w14:paraId="5689A022">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cs="Times New Roman"/>
          <w:color w:val="auto"/>
          <w:highlight w:val="none"/>
          <w:lang w:eastAsia="zh-CN"/>
        </w:rPr>
        <w:t>（</w:t>
      </w:r>
      <w:r>
        <w:rPr>
          <w:rFonts w:hint="eastAsia" w:ascii="Times New Roman" w:cs="Times New Roman"/>
          <w:color w:val="auto"/>
          <w:highlight w:val="none"/>
          <w:lang w:val="en-US" w:eastAsia="zh-CN"/>
        </w:rPr>
        <w:t>3</w:t>
      </w:r>
      <w:r>
        <w:rPr>
          <w:rFonts w:hint="eastAsia" w:ascii="Times New Roman" w:cs="Times New Roman"/>
          <w:color w:val="auto"/>
          <w:highlight w:val="none"/>
          <w:lang w:eastAsia="zh-CN"/>
        </w:rPr>
        <w:t>）</w:t>
      </w:r>
      <w:r>
        <w:rPr>
          <w:rFonts w:hint="default" w:ascii="Times New Roman" w:hAnsi="Times New Roman" w:eastAsia="宋体" w:cs="Times New Roman"/>
          <w:color w:val="auto"/>
          <w:highlight w:val="none"/>
        </w:rPr>
        <w:t>查表</w:t>
      </w:r>
      <w:r>
        <w:rPr>
          <w:rFonts w:hint="eastAsia" w:ascii="宋体" w:hAnsi="宋体" w:eastAsia="宋体" w:cs="宋体"/>
          <w:color w:val="auto"/>
          <w:szCs w:val="21"/>
          <w:highlight w:val="none"/>
          <w:lang w:eastAsia="zh-CN"/>
        </w:rPr>
        <w:t>E.2</w:t>
      </w:r>
      <w:r>
        <w:rPr>
          <w:rFonts w:hint="eastAsia" w:ascii="宋体" w:hAnsi="宋体" w:eastAsia="宋体" w:cs="宋体"/>
          <w:color w:val="auto"/>
          <w:szCs w:val="21"/>
          <w:highlight w:val="none"/>
        </w:rPr>
        <w:t>-1</w:t>
      </w:r>
      <w:r>
        <w:rPr>
          <w:rFonts w:hint="default" w:ascii="Times New Roman" w:hAnsi="Times New Roman" w:eastAsia="宋体" w:cs="Times New Roman"/>
          <w:color w:val="auto"/>
          <w:highlight w:val="none"/>
        </w:rPr>
        <w:t>确定地下水临界深度，蒸发强烈地区宜取较大值；反之宜取较小值。</w:t>
      </w:r>
    </w:p>
    <w:p w14:paraId="6C93967B">
      <w:pPr>
        <w:pStyle w:val="103"/>
        <w:rPr>
          <w:rFonts w:hint="eastAsia"/>
          <w:color w:val="auto"/>
          <w:highlight w:val="none"/>
        </w:rPr>
      </w:pPr>
    </w:p>
    <w:p w14:paraId="0D9E5C30">
      <w:pPr>
        <w:pStyle w:val="137"/>
        <w:rPr>
          <w:rFonts w:hint="eastAsia"/>
          <w:color w:val="auto"/>
          <w:highlight w:val="none"/>
        </w:rPr>
      </w:pPr>
    </w:p>
    <w:p w14:paraId="0DB93CAF">
      <w:pPr>
        <w:pStyle w:val="75"/>
        <w:rPr>
          <w:rFonts w:hint="eastAsia"/>
          <w:color w:val="auto"/>
          <w:highlight w:val="none"/>
        </w:rPr>
      </w:pPr>
      <w:r>
        <w:rPr>
          <w:color w:val="auto"/>
          <w:highlight w:val="none"/>
        </w:rPr>
        <w:br w:type="textWrapping"/>
      </w:r>
      <w:bookmarkStart w:id="421" w:name="_Toc299889794"/>
      <w:bookmarkStart w:id="422" w:name="_Toc522140524"/>
      <w:bookmarkStart w:id="423" w:name="_Toc520823496"/>
      <w:r>
        <w:rPr>
          <w:rFonts w:hint="eastAsia"/>
          <w:color w:val="auto"/>
          <w:highlight w:val="none"/>
        </w:rPr>
        <w:t>（资料性附录）</w:t>
      </w:r>
      <w:r>
        <w:rPr>
          <w:color w:val="auto"/>
          <w:highlight w:val="none"/>
        </w:rPr>
        <w:br w:type="textWrapping"/>
      </w:r>
      <w:r>
        <w:rPr>
          <w:rFonts w:hint="eastAsia"/>
          <w:color w:val="auto"/>
          <w:highlight w:val="none"/>
        </w:rPr>
        <w:t>农作物耐淹水深和耐淹历时</w:t>
      </w:r>
      <w:bookmarkEnd w:id="421"/>
      <w:bookmarkEnd w:id="422"/>
      <w:bookmarkEnd w:id="423"/>
    </w:p>
    <w:p w14:paraId="0F8D84BC">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hint="default" w:ascii="Times New Roman" w:hAnsi="Times New Roman" w:eastAsia="宋体" w:cs="Times New Roman"/>
          <w:color w:val="auto"/>
          <w:highlight w:val="none"/>
        </w:rPr>
      </w:pPr>
      <w:r>
        <w:rPr>
          <w:rFonts w:hint="eastAsia" w:ascii="宋体" w:hAnsi="宋体" w:eastAsia="宋体" w:cs="宋体"/>
          <w:b/>
          <w:bCs/>
          <w:color w:val="auto"/>
          <w:highlight w:val="none"/>
          <w:lang w:val="en-US" w:eastAsia="zh-CN"/>
        </w:rPr>
        <w:t>F</w:t>
      </w:r>
      <w:r>
        <w:rPr>
          <w:rFonts w:hint="eastAsia" w:ascii="宋体" w:hAnsi="宋体" w:eastAsia="宋体" w:cs="宋体"/>
          <w:b/>
          <w:bCs/>
          <w:color w:val="auto"/>
          <w:highlight w:val="none"/>
        </w:rPr>
        <w:t>.1</w:t>
      </w:r>
      <w:r>
        <w:rPr>
          <w:rFonts w:hint="default" w:ascii="Times New Roman" w:hAnsi="Times New Roman" w:eastAsia="宋体" w:cs="Times New Roman"/>
          <w:b/>
          <w:bCs/>
          <w:color w:val="auto"/>
          <w:highlight w:val="none"/>
        </w:rPr>
        <w:t xml:space="preserve"> </w:t>
      </w:r>
      <w:r>
        <w:rPr>
          <w:rFonts w:hint="default" w:ascii="Times New Roman" w:hAnsi="Times New Roman" w:eastAsia="宋体" w:cs="Times New Roman"/>
          <w:color w:val="auto"/>
          <w:highlight w:val="none"/>
        </w:rPr>
        <w:t>农作物的耐淹水深和耐淹历时，应根据当地或邻近类似地区的农作物耐淹试验资料分析确定。</w:t>
      </w:r>
    </w:p>
    <w:p w14:paraId="14273FED">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hint="default" w:ascii="Times New Roman" w:hAnsi="Times New Roman" w:eastAsia="宋体" w:cs="Times New Roman"/>
          <w:color w:val="auto"/>
          <w:highlight w:val="none"/>
        </w:rPr>
      </w:pPr>
      <w:r>
        <w:rPr>
          <w:rFonts w:hint="eastAsia" w:ascii="宋体" w:hAnsi="宋体" w:eastAsia="宋体" w:cs="宋体"/>
          <w:b/>
          <w:bCs/>
          <w:color w:val="auto"/>
          <w:highlight w:val="none"/>
          <w:lang w:val="en-US" w:eastAsia="zh-CN"/>
        </w:rPr>
        <w:t>F</w:t>
      </w:r>
      <w:r>
        <w:rPr>
          <w:rFonts w:hint="eastAsia" w:ascii="宋体" w:hAnsi="宋体" w:eastAsia="宋体" w:cs="宋体"/>
          <w:b/>
          <w:bCs/>
          <w:color w:val="auto"/>
          <w:highlight w:val="none"/>
        </w:rPr>
        <w:t>.2</w:t>
      </w:r>
      <w:r>
        <w:rPr>
          <w:rFonts w:hint="default" w:ascii="Times New Roman" w:hAnsi="Times New Roman" w:eastAsia="宋体" w:cs="Times New Roman"/>
          <w:b/>
          <w:bCs/>
          <w:color w:val="auto"/>
          <w:highlight w:val="none"/>
        </w:rPr>
        <w:t xml:space="preserve"> </w:t>
      </w:r>
      <w:r>
        <w:rPr>
          <w:rFonts w:hint="default" w:ascii="Times New Roman" w:hAnsi="Times New Roman" w:eastAsia="宋体" w:cs="Times New Roman"/>
          <w:color w:val="auto"/>
          <w:highlight w:val="none"/>
        </w:rPr>
        <w:t>当无试验资料时，农作物的耐淹水深和耐淹历时可按表</w:t>
      </w:r>
      <w:r>
        <w:rPr>
          <w:rFonts w:hint="eastAsia" w:ascii="宋体" w:hAnsi="宋体" w:eastAsia="宋体" w:cs="宋体"/>
          <w:color w:val="auto"/>
          <w:highlight w:val="none"/>
          <w:lang w:val="en-US" w:eastAsia="zh-CN"/>
        </w:rPr>
        <w:t>F</w:t>
      </w:r>
      <w:r>
        <w:rPr>
          <w:rFonts w:hint="eastAsia" w:ascii="宋体" w:hAnsi="宋体" w:eastAsia="宋体" w:cs="宋体"/>
          <w:color w:val="auto"/>
          <w:highlight w:val="none"/>
        </w:rPr>
        <w:t>.2-1</w:t>
      </w:r>
      <w:r>
        <w:rPr>
          <w:rFonts w:hint="default" w:ascii="Times New Roman" w:hAnsi="Times New Roman" w:eastAsia="宋体" w:cs="Times New Roman"/>
          <w:color w:val="auto"/>
          <w:highlight w:val="none"/>
        </w:rPr>
        <w:t>选取。</w:t>
      </w:r>
    </w:p>
    <w:p w14:paraId="36D5516F">
      <w:pPr>
        <w:pStyle w:val="139"/>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360" w:lineRule="exact"/>
        <w:textAlignment w:val="auto"/>
        <w:rPr>
          <w:color w:val="auto"/>
          <w:sz w:val="18"/>
          <w:szCs w:val="18"/>
          <w:highlight w:val="none"/>
        </w:rPr>
      </w:pPr>
      <w:r>
        <w:rPr>
          <w:color w:val="auto"/>
          <w:sz w:val="18"/>
          <w:szCs w:val="18"/>
          <w:highlight w:val="none"/>
        </w:rPr>
        <w:t>表</w:t>
      </w:r>
      <w:r>
        <w:rPr>
          <w:rFonts w:hint="eastAsia"/>
          <w:color w:val="auto"/>
          <w:sz w:val="18"/>
          <w:szCs w:val="18"/>
          <w:highlight w:val="none"/>
          <w:lang w:val="en-US" w:eastAsia="zh-CN"/>
        </w:rPr>
        <w:t>F</w:t>
      </w:r>
      <w:r>
        <w:rPr>
          <w:color w:val="auto"/>
          <w:sz w:val="18"/>
          <w:szCs w:val="18"/>
          <w:highlight w:val="none"/>
        </w:rPr>
        <w:t>.2-1 农作物耐淹水深和耐淹历时</w:t>
      </w:r>
    </w:p>
    <w:tbl>
      <w:tblPr>
        <w:tblStyle w:val="34"/>
        <w:tblW w:w="93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749"/>
        <w:gridCol w:w="2609"/>
        <w:gridCol w:w="2178"/>
        <w:gridCol w:w="2828"/>
      </w:tblGrid>
      <w:tr w14:paraId="69C02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3" w:hRule="exact"/>
          <w:jc w:val="center"/>
        </w:trPr>
        <w:tc>
          <w:tcPr>
            <w:tcW w:w="1749" w:type="dxa"/>
            <w:tcBorders>
              <w:top w:val="single" w:color="auto" w:sz="4" w:space="0"/>
              <w:left w:val="single" w:color="auto" w:sz="4" w:space="0"/>
              <w:bottom w:val="single" w:color="auto" w:sz="4" w:space="0"/>
              <w:right w:val="single" w:color="auto" w:sz="4" w:space="0"/>
            </w:tcBorders>
            <w:vAlign w:val="center"/>
          </w:tcPr>
          <w:p w14:paraId="60073624">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作物种类</w:t>
            </w:r>
          </w:p>
        </w:tc>
        <w:tc>
          <w:tcPr>
            <w:tcW w:w="2609" w:type="dxa"/>
            <w:tcBorders>
              <w:top w:val="single" w:color="auto" w:sz="4" w:space="0"/>
              <w:left w:val="single" w:color="auto" w:sz="4" w:space="0"/>
              <w:bottom w:val="single" w:color="auto" w:sz="4" w:space="0"/>
              <w:right w:val="single" w:color="auto" w:sz="4" w:space="0"/>
            </w:tcBorders>
            <w:vAlign w:val="center"/>
          </w:tcPr>
          <w:p w14:paraId="5104AEB0">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生青期</w:t>
            </w:r>
          </w:p>
        </w:tc>
        <w:tc>
          <w:tcPr>
            <w:tcW w:w="2178" w:type="dxa"/>
            <w:tcBorders>
              <w:top w:val="single" w:color="auto" w:sz="4" w:space="0"/>
              <w:left w:val="single" w:color="auto" w:sz="4" w:space="0"/>
              <w:bottom w:val="single" w:color="auto" w:sz="4" w:space="0"/>
              <w:right w:val="single" w:color="auto" w:sz="4" w:space="0"/>
            </w:tcBorders>
            <w:vAlign w:val="center"/>
          </w:tcPr>
          <w:p w14:paraId="68DBBA32">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水深（cm）</w:t>
            </w:r>
          </w:p>
        </w:tc>
        <w:tc>
          <w:tcPr>
            <w:tcW w:w="2828" w:type="dxa"/>
            <w:tcBorders>
              <w:top w:val="single" w:color="auto" w:sz="4" w:space="0"/>
              <w:left w:val="single" w:color="auto" w:sz="4" w:space="0"/>
              <w:bottom w:val="single" w:color="auto" w:sz="4" w:space="0"/>
              <w:right w:val="single" w:color="auto" w:sz="4" w:space="0"/>
            </w:tcBorders>
            <w:vAlign w:val="center"/>
          </w:tcPr>
          <w:p w14:paraId="4F814691">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耐淹历时（d）</w:t>
            </w:r>
          </w:p>
        </w:tc>
      </w:tr>
      <w:tr w14:paraId="313B2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6" w:hRule="exact"/>
          <w:jc w:val="center"/>
        </w:trPr>
        <w:tc>
          <w:tcPr>
            <w:tcW w:w="1749" w:type="dxa"/>
            <w:vMerge w:val="restart"/>
            <w:tcBorders>
              <w:top w:val="single" w:color="auto" w:sz="4" w:space="0"/>
              <w:left w:val="single" w:color="auto" w:sz="4" w:space="0"/>
              <w:bottom w:val="single" w:color="auto" w:sz="4" w:space="0"/>
              <w:right w:val="single" w:color="auto" w:sz="4" w:space="0"/>
            </w:tcBorders>
            <w:vAlign w:val="center"/>
          </w:tcPr>
          <w:p w14:paraId="0DBB2003">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玉米</w:t>
            </w:r>
          </w:p>
        </w:tc>
        <w:tc>
          <w:tcPr>
            <w:tcW w:w="2609" w:type="dxa"/>
            <w:tcBorders>
              <w:top w:val="single" w:color="auto" w:sz="4" w:space="0"/>
              <w:left w:val="single" w:color="auto" w:sz="4" w:space="0"/>
              <w:bottom w:val="single" w:color="auto" w:sz="4" w:space="0"/>
              <w:right w:val="single" w:color="auto" w:sz="4" w:space="0"/>
            </w:tcBorders>
            <w:vAlign w:val="center"/>
          </w:tcPr>
          <w:p w14:paraId="331A402F">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苗期～拔节期</w:t>
            </w:r>
          </w:p>
        </w:tc>
        <w:tc>
          <w:tcPr>
            <w:tcW w:w="2178" w:type="dxa"/>
            <w:tcBorders>
              <w:top w:val="single" w:color="auto" w:sz="4" w:space="0"/>
              <w:left w:val="single" w:color="auto" w:sz="4" w:space="0"/>
              <w:bottom w:val="single" w:color="auto" w:sz="4" w:space="0"/>
              <w:right w:val="single" w:color="auto" w:sz="4" w:space="0"/>
            </w:tcBorders>
            <w:vAlign w:val="center"/>
          </w:tcPr>
          <w:p w14:paraId="45B4C721">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2</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5</w:t>
            </w:r>
          </w:p>
        </w:tc>
        <w:tc>
          <w:tcPr>
            <w:tcW w:w="2828" w:type="dxa"/>
            <w:tcBorders>
              <w:top w:val="single" w:color="auto" w:sz="4" w:space="0"/>
              <w:left w:val="single" w:color="auto" w:sz="4" w:space="0"/>
              <w:bottom w:val="single" w:color="auto" w:sz="4" w:space="0"/>
              <w:right w:val="single" w:color="auto" w:sz="4" w:space="0"/>
            </w:tcBorders>
            <w:vAlign w:val="center"/>
          </w:tcPr>
          <w:p w14:paraId="4EFB3F5B">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1.5</w:t>
            </w:r>
          </w:p>
        </w:tc>
      </w:tr>
      <w:tr w14:paraId="3BF4A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8" w:hRule="exact"/>
          <w:jc w:val="center"/>
        </w:trPr>
        <w:tc>
          <w:tcPr>
            <w:tcW w:w="1749" w:type="dxa"/>
            <w:vMerge w:val="continue"/>
            <w:tcBorders>
              <w:top w:val="single" w:color="auto" w:sz="4" w:space="0"/>
              <w:left w:val="single" w:color="auto" w:sz="4" w:space="0"/>
              <w:bottom w:val="single" w:color="auto" w:sz="4" w:space="0"/>
              <w:right w:val="single" w:color="auto" w:sz="4" w:space="0"/>
            </w:tcBorders>
            <w:vAlign w:val="center"/>
          </w:tcPr>
          <w:p w14:paraId="4E85ED74">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p>
        </w:tc>
        <w:tc>
          <w:tcPr>
            <w:tcW w:w="2609" w:type="dxa"/>
            <w:tcBorders>
              <w:top w:val="single" w:color="auto" w:sz="4" w:space="0"/>
              <w:left w:val="single" w:color="auto" w:sz="4" w:space="0"/>
              <w:bottom w:val="single" w:color="auto" w:sz="4" w:space="0"/>
              <w:right w:val="single" w:color="auto" w:sz="4" w:space="0"/>
            </w:tcBorders>
            <w:vAlign w:val="center"/>
          </w:tcPr>
          <w:p w14:paraId="220B27DB">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抽種期</w:t>
            </w:r>
          </w:p>
        </w:tc>
        <w:tc>
          <w:tcPr>
            <w:tcW w:w="2178" w:type="dxa"/>
            <w:tcBorders>
              <w:top w:val="single" w:color="auto" w:sz="4" w:space="0"/>
              <w:left w:val="single" w:color="auto" w:sz="4" w:space="0"/>
              <w:bottom w:val="single" w:color="auto" w:sz="4" w:space="0"/>
              <w:right w:val="single" w:color="auto" w:sz="4" w:space="0"/>
            </w:tcBorders>
            <w:vAlign w:val="center"/>
          </w:tcPr>
          <w:p w14:paraId="2CC4BAF8">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8</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l2</w:t>
            </w:r>
          </w:p>
        </w:tc>
        <w:tc>
          <w:tcPr>
            <w:tcW w:w="2828" w:type="dxa"/>
            <w:tcBorders>
              <w:top w:val="single" w:color="auto" w:sz="4" w:space="0"/>
              <w:left w:val="single" w:color="auto" w:sz="4" w:space="0"/>
              <w:bottom w:val="single" w:color="auto" w:sz="4" w:space="0"/>
              <w:right w:val="single" w:color="auto" w:sz="4" w:space="0"/>
            </w:tcBorders>
            <w:vAlign w:val="center"/>
          </w:tcPr>
          <w:p w14:paraId="532083A4">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1.5</w:t>
            </w:r>
          </w:p>
        </w:tc>
      </w:tr>
      <w:tr w14:paraId="69CA6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27" w:hRule="exact"/>
          <w:jc w:val="center"/>
        </w:trPr>
        <w:tc>
          <w:tcPr>
            <w:tcW w:w="1749" w:type="dxa"/>
            <w:vMerge w:val="continue"/>
            <w:tcBorders>
              <w:top w:val="single" w:color="auto" w:sz="4" w:space="0"/>
              <w:left w:val="single" w:color="auto" w:sz="4" w:space="0"/>
              <w:bottom w:val="single" w:color="auto" w:sz="4" w:space="0"/>
              <w:right w:val="single" w:color="auto" w:sz="4" w:space="0"/>
            </w:tcBorders>
            <w:vAlign w:val="center"/>
          </w:tcPr>
          <w:p w14:paraId="18FE533F">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p>
        </w:tc>
        <w:tc>
          <w:tcPr>
            <w:tcW w:w="2609" w:type="dxa"/>
            <w:tcBorders>
              <w:top w:val="single" w:color="auto" w:sz="4" w:space="0"/>
              <w:left w:val="single" w:color="auto" w:sz="4" w:space="0"/>
              <w:bottom w:val="single" w:color="auto" w:sz="4" w:space="0"/>
              <w:right w:val="single" w:color="auto" w:sz="4" w:space="0"/>
            </w:tcBorders>
            <w:vAlign w:val="center"/>
          </w:tcPr>
          <w:p w14:paraId="6ABE9301">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孕穗灌浆期</w:t>
            </w:r>
          </w:p>
        </w:tc>
        <w:tc>
          <w:tcPr>
            <w:tcW w:w="2178" w:type="dxa"/>
            <w:tcBorders>
              <w:top w:val="single" w:color="auto" w:sz="4" w:space="0"/>
              <w:left w:val="single" w:color="auto" w:sz="4" w:space="0"/>
              <w:bottom w:val="single" w:color="auto" w:sz="4" w:space="0"/>
              <w:right w:val="single" w:color="auto" w:sz="4" w:space="0"/>
            </w:tcBorders>
            <w:vAlign w:val="center"/>
          </w:tcPr>
          <w:p w14:paraId="33086694">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8</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12</w:t>
            </w:r>
          </w:p>
        </w:tc>
        <w:tc>
          <w:tcPr>
            <w:tcW w:w="2828" w:type="dxa"/>
            <w:tcBorders>
              <w:top w:val="single" w:color="auto" w:sz="4" w:space="0"/>
              <w:left w:val="single" w:color="auto" w:sz="4" w:space="0"/>
              <w:bottom w:val="single" w:color="auto" w:sz="4" w:space="0"/>
              <w:right w:val="single" w:color="auto" w:sz="4" w:space="0"/>
            </w:tcBorders>
            <w:vAlign w:val="center"/>
          </w:tcPr>
          <w:p w14:paraId="31BFD68F">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l.5</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2</w:t>
            </w:r>
          </w:p>
        </w:tc>
      </w:tr>
      <w:tr w14:paraId="417CF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1" w:hRule="exact"/>
          <w:jc w:val="center"/>
        </w:trPr>
        <w:tc>
          <w:tcPr>
            <w:tcW w:w="1749" w:type="dxa"/>
            <w:vMerge w:val="continue"/>
            <w:tcBorders>
              <w:top w:val="single" w:color="auto" w:sz="4" w:space="0"/>
              <w:left w:val="single" w:color="auto" w:sz="4" w:space="0"/>
              <w:bottom w:val="single" w:color="auto" w:sz="4" w:space="0"/>
              <w:right w:val="single" w:color="auto" w:sz="4" w:space="0"/>
            </w:tcBorders>
            <w:vAlign w:val="center"/>
          </w:tcPr>
          <w:p w14:paraId="1021CFD3">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p>
        </w:tc>
        <w:tc>
          <w:tcPr>
            <w:tcW w:w="2609" w:type="dxa"/>
            <w:vMerge w:val="restart"/>
            <w:tcBorders>
              <w:top w:val="single" w:color="auto" w:sz="4" w:space="0"/>
              <w:left w:val="single" w:color="auto" w:sz="4" w:space="0"/>
              <w:bottom w:val="single" w:color="auto" w:sz="4" w:space="0"/>
              <w:right w:val="single" w:color="auto" w:sz="4" w:space="0"/>
            </w:tcBorders>
            <w:vAlign w:val="center"/>
          </w:tcPr>
          <w:p w14:paraId="725F6476">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成熟期</w:t>
            </w:r>
          </w:p>
        </w:tc>
        <w:tc>
          <w:tcPr>
            <w:tcW w:w="2178" w:type="dxa"/>
            <w:vMerge w:val="restart"/>
            <w:tcBorders>
              <w:top w:val="single" w:color="auto" w:sz="4" w:space="0"/>
              <w:left w:val="single" w:color="auto" w:sz="4" w:space="0"/>
              <w:bottom w:val="single" w:color="auto" w:sz="4" w:space="0"/>
              <w:right w:val="single" w:color="auto" w:sz="4" w:space="0"/>
            </w:tcBorders>
            <w:vAlign w:val="center"/>
          </w:tcPr>
          <w:p w14:paraId="4F071102">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10</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15</w:t>
            </w:r>
          </w:p>
        </w:tc>
        <w:tc>
          <w:tcPr>
            <w:tcW w:w="2828" w:type="dxa"/>
            <w:tcBorders>
              <w:top w:val="single" w:color="auto" w:sz="4" w:space="0"/>
              <w:left w:val="single" w:color="auto" w:sz="4" w:space="0"/>
              <w:bottom w:val="nil"/>
              <w:right w:val="single" w:color="auto" w:sz="4" w:space="0"/>
            </w:tcBorders>
            <w:vAlign w:val="center"/>
          </w:tcPr>
          <w:p w14:paraId="3976BD18">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2</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3</w:t>
            </w:r>
          </w:p>
        </w:tc>
      </w:tr>
      <w:tr w14:paraId="1592F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8" w:hRule="exact"/>
          <w:jc w:val="center"/>
        </w:trPr>
        <w:tc>
          <w:tcPr>
            <w:tcW w:w="1749" w:type="dxa"/>
            <w:vMerge w:val="continue"/>
            <w:tcBorders>
              <w:top w:val="single" w:color="auto" w:sz="4" w:space="0"/>
              <w:left w:val="single" w:color="auto" w:sz="4" w:space="0"/>
              <w:bottom w:val="single" w:color="auto" w:sz="4" w:space="0"/>
              <w:right w:val="single" w:color="auto" w:sz="4" w:space="0"/>
            </w:tcBorders>
            <w:vAlign w:val="center"/>
          </w:tcPr>
          <w:p w14:paraId="29E3455A">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p>
        </w:tc>
        <w:tc>
          <w:tcPr>
            <w:tcW w:w="2609" w:type="dxa"/>
            <w:vMerge w:val="continue"/>
            <w:tcBorders>
              <w:top w:val="single" w:color="auto" w:sz="4" w:space="0"/>
              <w:left w:val="single" w:color="auto" w:sz="4" w:space="0"/>
              <w:bottom w:val="single" w:color="auto" w:sz="4" w:space="0"/>
              <w:right w:val="single" w:color="auto" w:sz="4" w:space="0"/>
            </w:tcBorders>
            <w:vAlign w:val="center"/>
          </w:tcPr>
          <w:p w14:paraId="7F016B1E">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p>
        </w:tc>
        <w:tc>
          <w:tcPr>
            <w:tcW w:w="2178" w:type="dxa"/>
            <w:vMerge w:val="continue"/>
            <w:tcBorders>
              <w:top w:val="single" w:color="auto" w:sz="4" w:space="0"/>
              <w:left w:val="single" w:color="auto" w:sz="4" w:space="0"/>
              <w:bottom w:val="single" w:color="auto" w:sz="4" w:space="0"/>
              <w:right w:val="single" w:color="auto" w:sz="4" w:space="0"/>
            </w:tcBorders>
            <w:vAlign w:val="center"/>
          </w:tcPr>
          <w:p w14:paraId="68ED7741">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p>
        </w:tc>
        <w:tc>
          <w:tcPr>
            <w:tcW w:w="2828" w:type="dxa"/>
            <w:tcBorders>
              <w:top w:val="nil"/>
              <w:left w:val="single" w:color="auto" w:sz="4" w:space="0"/>
              <w:bottom w:val="single" w:color="auto" w:sz="4" w:space="0"/>
              <w:right w:val="single" w:color="auto" w:sz="4" w:space="0"/>
            </w:tcBorders>
            <w:vAlign w:val="center"/>
          </w:tcPr>
          <w:p w14:paraId="26F0FC48">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p>
        </w:tc>
      </w:tr>
      <w:tr w14:paraId="7A1C6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1" w:hRule="exact"/>
          <w:jc w:val="center"/>
        </w:trPr>
        <w:tc>
          <w:tcPr>
            <w:tcW w:w="1749" w:type="dxa"/>
            <w:tcBorders>
              <w:top w:val="single" w:color="auto" w:sz="4" w:space="0"/>
              <w:left w:val="single" w:color="auto" w:sz="4" w:space="0"/>
              <w:bottom w:val="single" w:color="auto" w:sz="4" w:space="0"/>
              <w:right w:val="single" w:color="auto" w:sz="4" w:space="0"/>
            </w:tcBorders>
            <w:vAlign w:val="center"/>
          </w:tcPr>
          <w:p w14:paraId="41A25E19">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小麦</w:t>
            </w:r>
          </w:p>
        </w:tc>
        <w:tc>
          <w:tcPr>
            <w:tcW w:w="2609" w:type="dxa"/>
            <w:tcBorders>
              <w:top w:val="single" w:color="auto" w:sz="4" w:space="0"/>
              <w:left w:val="single" w:color="auto" w:sz="4" w:space="0"/>
              <w:bottom w:val="single" w:color="auto" w:sz="4" w:space="0"/>
              <w:right w:val="single" w:color="auto" w:sz="4" w:space="0"/>
            </w:tcBorders>
            <w:vAlign w:val="center"/>
          </w:tcPr>
          <w:p w14:paraId="0A0ECAAE">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拔节～成熟期</w:t>
            </w:r>
          </w:p>
        </w:tc>
        <w:tc>
          <w:tcPr>
            <w:tcW w:w="2178" w:type="dxa"/>
            <w:tcBorders>
              <w:top w:val="single" w:color="auto" w:sz="4" w:space="0"/>
              <w:left w:val="single" w:color="auto" w:sz="4" w:space="0"/>
              <w:bottom w:val="single" w:color="auto" w:sz="4" w:space="0"/>
              <w:right w:val="single" w:color="auto" w:sz="4" w:space="0"/>
            </w:tcBorders>
            <w:vAlign w:val="center"/>
          </w:tcPr>
          <w:p w14:paraId="2EA04FC5">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5</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10</w:t>
            </w:r>
          </w:p>
        </w:tc>
        <w:tc>
          <w:tcPr>
            <w:tcW w:w="2828" w:type="dxa"/>
            <w:tcBorders>
              <w:top w:val="single" w:color="auto" w:sz="4" w:space="0"/>
              <w:left w:val="single" w:color="auto" w:sz="4" w:space="0"/>
              <w:bottom w:val="single" w:color="auto" w:sz="4" w:space="0"/>
              <w:right w:val="single" w:color="auto" w:sz="4" w:space="0"/>
            </w:tcBorders>
            <w:vAlign w:val="center"/>
          </w:tcPr>
          <w:p w14:paraId="7989152D">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l</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2</w:t>
            </w:r>
            <w:r>
              <w:rPr>
                <w:rFonts w:hint="default" w:ascii="Times New Roman" w:hAnsi="Times New Roman" w:eastAsia="宋体" w:cs="Times New Roman"/>
                <w:color w:val="auto"/>
                <w:sz w:val="18"/>
                <w:szCs w:val="18"/>
                <w:highlight w:val="none"/>
              </w:rPr>
              <w:cr/>
            </w:r>
          </w:p>
        </w:tc>
      </w:tr>
      <w:tr w14:paraId="4D383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5" w:hRule="exact"/>
          <w:jc w:val="center"/>
        </w:trPr>
        <w:tc>
          <w:tcPr>
            <w:tcW w:w="1749" w:type="dxa"/>
            <w:vMerge w:val="restart"/>
            <w:tcBorders>
              <w:top w:val="single" w:color="auto" w:sz="4" w:space="0"/>
              <w:left w:val="single" w:color="auto" w:sz="4" w:space="0"/>
              <w:right w:val="single" w:color="auto" w:sz="4" w:space="0"/>
            </w:tcBorders>
            <w:vAlign w:val="center"/>
          </w:tcPr>
          <w:p w14:paraId="013CA78A">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水稻</w:t>
            </w:r>
          </w:p>
        </w:tc>
        <w:tc>
          <w:tcPr>
            <w:tcW w:w="2609" w:type="dxa"/>
            <w:tcBorders>
              <w:top w:val="single" w:color="auto" w:sz="4" w:space="0"/>
              <w:left w:val="single" w:color="auto" w:sz="4" w:space="0"/>
              <w:bottom w:val="single" w:color="auto" w:sz="4" w:space="0"/>
              <w:right w:val="single" w:color="auto" w:sz="4" w:space="0"/>
            </w:tcBorders>
            <w:vAlign w:val="center"/>
          </w:tcPr>
          <w:p w14:paraId="31FACD8C">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返青期</w:t>
            </w:r>
          </w:p>
        </w:tc>
        <w:tc>
          <w:tcPr>
            <w:tcW w:w="2178" w:type="dxa"/>
            <w:tcBorders>
              <w:top w:val="single" w:color="auto" w:sz="4" w:space="0"/>
              <w:left w:val="single" w:color="auto" w:sz="4" w:space="0"/>
              <w:bottom w:val="single" w:color="auto" w:sz="4" w:space="0"/>
              <w:right w:val="single" w:color="auto" w:sz="4" w:space="0"/>
            </w:tcBorders>
            <w:vAlign w:val="center"/>
          </w:tcPr>
          <w:p w14:paraId="5167C4ED">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3</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5</w:t>
            </w:r>
          </w:p>
        </w:tc>
        <w:tc>
          <w:tcPr>
            <w:tcW w:w="2828" w:type="dxa"/>
            <w:tcBorders>
              <w:top w:val="single" w:color="auto" w:sz="4" w:space="0"/>
              <w:left w:val="single" w:color="auto" w:sz="4" w:space="0"/>
              <w:bottom w:val="single" w:color="auto" w:sz="4" w:space="0"/>
              <w:right w:val="single" w:color="auto" w:sz="4" w:space="0"/>
            </w:tcBorders>
            <w:vAlign w:val="center"/>
          </w:tcPr>
          <w:p w14:paraId="1D821E07">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2</w:t>
            </w:r>
          </w:p>
        </w:tc>
      </w:tr>
      <w:tr w14:paraId="18D16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22" w:hRule="exact"/>
          <w:jc w:val="center"/>
        </w:trPr>
        <w:tc>
          <w:tcPr>
            <w:tcW w:w="1749" w:type="dxa"/>
            <w:vMerge w:val="continue"/>
            <w:tcBorders>
              <w:left w:val="single" w:color="auto" w:sz="4" w:space="0"/>
              <w:right w:val="single" w:color="auto" w:sz="4" w:space="0"/>
            </w:tcBorders>
            <w:vAlign w:val="center"/>
          </w:tcPr>
          <w:p w14:paraId="3E196005">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p>
        </w:tc>
        <w:tc>
          <w:tcPr>
            <w:tcW w:w="2609" w:type="dxa"/>
            <w:tcBorders>
              <w:top w:val="single" w:color="auto" w:sz="4" w:space="0"/>
              <w:left w:val="single" w:color="auto" w:sz="4" w:space="0"/>
              <w:bottom w:val="single" w:color="auto" w:sz="4" w:space="0"/>
              <w:right w:val="single" w:color="auto" w:sz="4" w:space="0"/>
            </w:tcBorders>
            <w:vAlign w:val="center"/>
          </w:tcPr>
          <w:p w14:paraId="1E3734C1">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分藥期</w:t>
            </w:r>
          </w:p>
        </w:tc>
        <w:tc>
          <w:tcPr>
            <w:tcW w:w="2178" w:type="dxa"/>
            <w:tcBorders>
              <w:top w:val="single" w:color="auto" w:sz="4" w:space="0"/>
              <w:left w:val="single" w:color="auto" w:sz="4" w:space="0"/>
              <w:bottom w:val="single" w:color="auto" w:sz="4" w:space="0"/>
              <w:right w:val="single" w:color="auto" w:sz="4" w:space="0"/>
            </w:tcBorders>
            <w:vAlign w:val="center"/>
          </w:tcPr>
          <w:p w14:paraId="4BF1E417">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6</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10</w:t>
            </w:r>
          </w:p>
        </w:tc>
        <w:tc>
          <w:tcPr>
            <w:tcW w:w="2828" w:type="dxa"/>
            <w:tcBorders>
              <w:top w:val="single" w:color="auto" w:sz="4" w:space="0"/>
              <w:left w:val="single" w:color="auto" w:sz="4" w:space="0"/>
              <w:bottom w:val="single" w:color="auto" w:sz="4" w:space="0"/>
              <w:right w:val="single" w:color="auto" w:sz="4" w:space="0"/>
            </w:tcBorders>
            <w:vAlign w:val="center"/>
          </w:tcPr>
          <w:p w14:paraId="0F5C9CFC">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2</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3</w:t>
            </w:r>
          </w:p>
        </w:tc>
      </w:tr>
      <w:tr w14:paraId="061BE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3" w:hRule="exact"/>
          <w:jc w:val="center"/>
        </w:trPr>
        <w:tc>
          <w:tcPr>
            <w:tcW w:w="1749" w:type="dxa"/>
            <w:vMerge w:val="continue"/>
            <w:tcBorders>
              <w:left w:val="single" w:color="auto" w:sz="4" w:space="0"/>
              <w:right w:val="single" w:color="auto" w:sz="4" w:space="0"/>
            </w:tcBorders>
            <w:vAlign w:val="center"/>
          </w:tcPr>
          <w:p w14:paraId="5E348B7C">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p>
        </w:tc>
        <w:tc>
          <w:tcPr>
            <w:tcW w:w="2609" w:type="dxa"/>
            <w:tcBorders>
              <w:top w:val="single" w:color="auto" w:sz="4" w:space="0"/>
              <w:left w:val="single" w:color="auto" w:sz="4" w:space="0"/>
              <w:bottom w:val="single" w:color="auto" w:sz="4" w:space="0"/>
              <w:right w:val="single" w:color="auto" w:sz="4" w:space="0"/>
            </w:tcBorders>
            <w:vAlign w:val="center"/>
          </w:tcPr>
          <w:p w14:paraId="05897F72">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拔节期</w:t>
            </w:r>
          </w:p>
        </w:tc>
        <w:tc>
          <w:tcPr>
            <w:tcW w:w="2178" w:type="dxa"/>
            <w:tcBorders>
              <w:top w:val="single" w:color="auto" w:sz="4" w:space="0"/>
              <w:left w:val="single" w:color="auto" w:sz="4" w:space="0"/>
              <w:bottom w:val="single" w:color="auto" w:sz="4" w:space="0"/>
              <w:right w:val="single" w:color="auto" w:sz="4" w:space="0"/>
            </w:tcBorders>
            <w:vAlign w:val="center"/>
          </w:tcPr>
          <w:p w14:paraId="5A282137">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15</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25</w:t>
            </w:r>
          </w:p>
        </w:tc>
        <w:tc>
          <w:tcPr>
            <w:tcW w:w="2828" w:type="dxa"/>
            <w:tcBorders>
              <w:top w:val="single" w:color="auto" w:sz="4" w:space="0"/>
              <w:left w:val="single" w:color="auto" w:sz="4" w:space="0"/>
              <w:bottom w:val="single" w:color="auto" w:sz="4" w:space="0"/>
              <w:right w:val="single" w:color="auto" w:sz="4" w:space="0"/>
            </w:tcBorders>
            <w:vAlign w:val="center"/>
          </w:tcPr>
          <w:p w14:paraId="4DA81663">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4</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6</w:t>
            </w:r>
          </w:p>
        </w:tc>
      </w:tr>
      <w:tr w14:paraId="0E9DF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2" w:hRule="exact"/>
          <w:jc w:val="center"/>
        </w:trPr>
        <w:tc>
          <w:tcPr>
            <w:tcW w:w="1749" w:type="dxa"/>
            <w:vMerge w:val="continue"/>
            <w:tcBorders>
              <w:left w:val="single" w:color="auto" w:sz="4" w:space="0"/>
              <w:right w:val="single" w:color="auto" w:sz="4" w:space="0"/>
            </w:tcBorders>
            <w:vAlign w:val="center"/>
          </w:tcPr>
          <w:p w14:paraId="633556AA">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p>
        </w:tc>
        <w:tc>
          <w:tcPr>
            <w:tcW w:w="2609" w:type="dxa"/>
            <w:tcBorders>
              <w:top w:val="single" w:color="auto" w:sz="4" w:space="0"/>
              <w:left w:val="single" w:color="auto" w:sz="4" w:space="0"/>
              <w:bottom w:val="single" w:color="auto" w:sz="4" w:space="0"/>
              <w:right w:val="single" w:color="auto" w:sz="4" w:space="0"/>
            </w:tcBorders>
            <w:vAlign w:val="center"/>
          </w:tcPr>
          <w:p w14:paraId="2C01D445">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孕穂期</w:t>
            </w:r>
          </w:p>
        </w:tc>
        <w:tc>
          <w:tcPr>
            <w:tcW w:w="2178" w:type="dxa"/>
            <w:tcBorders>
              <w:top w:val="single" w:color="auto" w:sz="4" w:space="0"/>
              <w:left w:val="single" w:color="auto" w:sz="4" w:space="0"/>
              <w:bottom w:val="single" w:color="auto" w:sz="4" w:space="0"/>
              <w:right w:val="single" w:color="auto" w:sz="4" w:space="0"/>
            </w:tcBorders>
            <w:vAlign w:val="center"/>
          </w:tcPr>
          <w:p w14:paraId="63D40F54">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20</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25</w:t>
            </w:r>
          </w:p>
        </w:tc>
        <w:tc>
          <w:tcPr>
            <w:tcW w:w="2828" w:type="dxa"/>
            <w:tcBorders>
              <w:top w:val="single" w:color="auto" w:sz="4" w:space="0"/>
              <w:left w:val="single" w:color="auto" w:sz="4" w:space="0"/>
              <w:bottom w:val="single" w:color="auto" w:sz="4" w:space="0"/>
              <w:right w:val="single" w:color="auto" w:sz="4" w:space="0"/>
            </w:tcBorders>
            <w:vAlign w:val="center"/>
          </w:tcPr>
          <w:p w14:paraId="508C8ADF">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4</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6</w:t>
            </w:r>
          </w:p>
        </w:tc>
      </w:tr>
      <w:tr w14:paraId="086D9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exact"/>
          <w:jc w:val="center"/>
        </w:trPr>
        <w:tc>
          <w:tcPr>
            <w:tcW w:w="1749" w:type="dxa"/>
            <w:vMerge w:val="continue"/>
            <w:tcBorders>
              <w:left w:val="single" w:color="auto" w:sz="4" w:space="0"/>
              <w:right w:val="single" w:color="auto" w:sz="4" w:space="0"/>
            </w:tcBorders>
            <w:vAlign w:val="center"/>
          </w:tcPr>
          <w:p w14:paraId="28D0BC2F">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p>
        </w:tc>
        <w:tc>
          <w:tcPr>
            <w:tcW w:w="2609" w:type="dxa"/>
            <w:tcBorders>
              <w:top w:val="single" w:color="auto" w:sz="4" w:space="0"/>
              <w:left w:val="single" w:color="auto" w:sz="4" w:space="0"/>
              <w:bottom w:val="single" w:color="auto" w:sz="4" w:space="0"/>
              <w:right w:val="single" w:color="auto" w:sz="4" w:space="0"/>
            </w:tcBorders>
            <w:vAlign w:val="center"/>
          </w:tcPr>
          <w:p w14:paraId="7975A0F4">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成熟期</w:t>
            </w:r>
          </w:p>
        </w:tc>
        <w:tc>
          <w:tcPr>
            <w:tcW w:w="2178" w:type="dxa"/>
            <w:tcBorders>
              <w:top w:val="single" w:color="auto" w:sz="4" w:space="0"/>
              <w:left w:val="single" w:color="auto" w:sz="4" w:space="0"/>
              <w:bottom w:val="single" w:color="auto" w:sz="4" w:space="0"/>
              <w:right w:val="single" w:color="auto" w:sz="4" w:space="0"/>
            </w:tcBorders>
            <w:vAlign w:val="center"/>
          </w:tcPr>
          <w:p w14:paraId="3FC9FA64">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30</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35</w:t>
            </w:r>
          </w:p>
        </w:tc>
        <w:tc>
          <w:tcPr>
            <w:tcW w:w="2828" w:type="dxa"/>
            <w:tcBorders>
              <w:top w:val="single" w:color="auto" w:sz="4" w:space="0"/>
              <w:left w:val="single" w:color="auto" w:sz="4" w:space="0"/>
              <w:bottom w:val="single" w:color="auto" w:sz="4" w:space="0"/>
              <w:right w:val="single" w:color="auto" w:sz="4" w:space="0"/>
            </w:tcBorders>
            <w:vAlign w:val="center"/>
          </w:tcPr>
          <w:p w14:paraId="7E2E451B">
            <w:pPr>
              <w:keepNext w:val="0"/>
              <w:keepLines w:val="0"/>
              <w:pageBreakBefore w:val="0"/>
              <w:widowControl w:val="0"/>
              <w:kinsoku/>
              <w:wordWrap/>
              <w:overflowPunct/>
              <w:topLinePunct w:val="0"/>
              <w:autoSpaceDE w:val="0"/>
              <w:autoSpaceDN w:val="0"/>
              <w:bidi w:val="0"/>
              <w:adjustRightInd w:val="0"/>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4</w:t>
            </w:r>
            <w:r>
              <w:rPr>
                <w:rFonts w:hint="default" w:ascii="Times New Roman" w:hAnsi="Times New Roman" w:eastAsia="宋体" w:cs="Times New Roman"/>
                <w:color w:val="auto"/>
                <w:kern w:val="0"/>
                <w:sz w:val="18"/>
                <w:szCs w:val="18"/>
                <w:highlight w:val="none"/>
              </w:rPr>
              <w:t>～</w:t>
            </w:r>
            <w:r>
              <w:rPr>
                <w:rFonts w:hint="default" w:ascii="Times New Roman" w:hAnsi="Times New Roman" w:eastAsia="宋体" w:cs="Times New Roman"/>
                <w:color w:val="auto"/>
                <w:sz w:val="18"/>
                <w:szCs w:val="18"/>
                <w:highlight w:val="none"/>
              </w:rPr>
              <w:t>6</w:t>
            </w:r>
            <w:r>
              <w:rPr>
                <w:rFonts w:hint="default" w:ascii="Times New Roman" w:hAnsi="Times New Roman" w:eastAsia="宋体" w:cs="Times New Roman"/>
                <w:color w:val="auto"/>
                <w:sz w:val="18"/>
                <w:szCs w:val="18"/>
                <w:highlight w:val="none"/>
              </w:rPr>
              <w:cr/>
            </w:r>
          </w:p>
        </w:tc>
      </w:tr>
      <w:tr w14:paraId="4A15B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04" w:hRule="exact"/>
          <w:jc w:val="center"/>
        </w:trPr>
        <w:tc>
          <w:tcPr>
            <w:tcW w:w="9364" w:type="dxa"/>
            <w:gridSpan w:val="4"/>
            <w:tcBorders>
              <w:left w:val="single" w:color="auto" w:sz="4" w:space="0"/>
              <w:bottom w:val="single" w:color="auto" w:sz="4" w:space="0"/>
              <w:right w:val="single" w:color="auto" w:sz="4" w:space="0"/>
            </w:tcBorders>
            <w:vAlign w:val="center"/>
          </w:tcPr>
          <w:p w14:paraId="18E9A471">
            <w:pPr>
              <w:keepNext w:val="0"/>
              <w:keepLines w:val="0"/>
              <w:pageBreakBefore w:val="0"/>
              <w:widowControl w:val="0"/>
              <w:kinsoku/>
              <w:wordWrap/>
              <w:overflowPunct/>
              <w:topLinePunct w:val="0"/>
              <w:autoSpaceDE w:val="0"/>
              <w:autoSpaceDN w:val="0"/>
              <w:bidi w:val="0"/>
              <w:adjustRightInd w:val="0"/>
              <w:snapToGrid/>
              <w:jc w:val="both"/>
              <w:textAlignment w:val="auto"/>
              <w:rPr>
                <w:rFonts w:hint="default" w:ascii="Times New Roman" w:hAnsi="Times New Roman" w:eastAsia="宋体" w:cs="Times New Roman"/>
                <w:b/>
                <w:color w:val="auto"/>
                <w:sz w:val="18"/>
                <w:szCs w:val="18"/>
                <w:highlight w:val="none"/>
              </w:rPr>
            </w:pPr>
            <w:r>
              <w:rPr>
                <w:rFonts w:hint="default" w:ascii="Times New Roman" w:hAnsi="Times New Roman" w:eastAsia="宋体" w:cs="Times New Roman"/>
                <w:b/>
                <w:color w:val="auto"/>
                <w:sz w:val="18"/>
                <w:szCs w:val="18"/>
                <w:highlight w:val="none"/>
              </w:rPr>
              <w:t>注：一般情况下， 耐淹水深较大时的耐淹历时较短， 反之则较长。干旱、半干旱地区取小值。</w:t>
            </w:r>
          </w:p>
        </w:tc>
      </w:tr>
    </w:tbl>
    <w:p w14:paraId="1428266F">
      <w:pPr>
        <w:pStyle w:val="25"/>
        <w:ind w:firstLine="0" w:firstLineChars="0"/>
        <w:rPr>
          <w:rFonts w:hint="eastAsia"/>
          <w:color w:val="auto"/>
          <w:highlight w:val="none"/>
        </w:rPr>
      </w:pPr>
    </w:p>
    <w:p w14:paraId="5B12C411">
      <w:pPr>
        <w:pStyle w:val="103"/>
        <w:rPr>
          <w:rFonts w:hint="eastAsia"/>
          <w:color w:val="auto"/>
          <w:highlight w:val="none"/>
        </w:rPr>
      </w:pPr>
    </w:p>
    <w:p w14:paraId="123AC392">
      <w:pPr>
        <w:pStyle w:val="137"/>
        <w:rPr>
          <w:rFonts w:hint="eastAsia"/>
          <w:color w:val="auto"/>
          <w:highlight w:val="none"/>
        </w:rPr>
      </w:pPr>
    </w:p>
    <w:p w14:paraId="29CF4B3B">
      <w:pPr>
        <w:pStyle w:val="75"/>
        <w:rPr>
          <w:rFonts w:hint="eastAsia"/>
          <w:color w:val="auto"/>
          <w:highlight w:val="none"/>
        </w:rPr>
      </w:pPr>
      <w:bookmarkStart w:id="424" w:name="_Toc522140527"/>
      <w:bookmarkStart w:id="425" w:name="_Toc520823499"/>
      <w:bookmarkStart w:id="426" w:name="_Toc299889797"/>
      <w:r>
        <w:rPr>
          <w:rFonts w:hint="eastAsia"/>
          <w:color w:val="auto"/>
          <w:highlight w:val="none"/>
        </w:rPr>
        <w:t>（资料性附录）</w:t>
      </w:r>
      <w:r>
        <w:rPr>
          <w:color w:val="auto"/>
          <w:highlight w:val="none"/>
        </w:rPr>
        <w:br w:type="textWrapping"/>
      </w:r>
      <w:r>
        <w:rPr>
          <w:rFonts w:hint="eastAsia"/>
          <w:color w:val="auto"/>
          <w:highlight w:val="none"/>
        </w:rPr>
        <w:t>调控地下水位的吸水管间距计算公式</w:t>
      </w:r>
      <w:bookmarkEnd w:id="424"/>
      <w:bookmarkEnd w:id="425"/>
      <w:bookmarkEnd w:id="426"/>
    </w:p>
    <w:p w14:paraId="55D5875A">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ascii="Times New Roman"/>
          <w:color w:val="auto"/>
          <w:highlight w:val="none"/>
        </w:rPr>
      </w:pPr>
      <w:r>
        <w:rPr>
          <w:rFonts w:hint="eastAsia" w:ascii="宋体" w:hAnsi="宋体" w:eastAsia="宋体" w:cs="宋体"/>
          <w:b/>
          <w:bCs/>
          <w:color w:val="auto"/>
          <w:highlight w:val="none"/>
          <w:lang w:val="en-US" w:eastAsia="zh-CN"/>
        </w:rPr>
        <w:t>G</w:t>
      </w:r>
      <w:r>
        <w:rPr>
          <w:rFonts w:hint="eastAsia" w:ascii="宋体" w:hAnsi="宋体" w:eastAsia="宋体" w:cs="宋体"/>
          <w:b/>
          <w:bCs/>
          <w:color w:val="auto"/>
          <w:highlight w:val="none"/>
        </w:rPr>
        <w:t>.1</w:t>
      </w:r>
      <w:r>
        <w:rPr>
          <w:rFonts w:ascii="Times New Roman"/>
          <w:b/>
          <w:bCs/>
          <w:color w:val="auto"/>
          <w:highlight w:val="none"/>
        </w:rPr>
        <w:t xml:space="preserve"> </w:t>
      </w:r>
      <w:r>
        <w:rPr>
          <w:rFonts w:ascii="Times New Roman"/>
          <w:color w:val="auto"/>
          <w:highlight w:val="none"/>
        </w:rPr>
        <w:t>调控地下水位</w:t>
      </w:r>
      <w:r>
        <w:rPr>
          <w:rFonts w:hint="eastAsia" w:ascii="Times New Roman"/>
          <w:color w:val="auto"/>
          <w:highlight w:val="none"/>
        </w:rPr>
        <w:t>的</w:t>
      </w:r>
      <w:r>
        <w:rPr>
          <w:rFonts w:ascii="Times New Roman"/>
          <w:color w:val="auto"/>
          <w:highlight w:val="none"/>
        </w:rPr>
        <w:t>吸水管间距应根据渗流条件和上边界条件分别采用</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.2～</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.6</w:t>
      </w:r>
      <w:r>
        <w:rPr>
          <w:rFonts w:ascii="Times New Roman"/>
          <w:color w:val="auto"/>
          <w:highlight w:val="none"/>
        </w:rPr>
        <w:t>条的方法计算</w:t>
      </w:r>
      <w:r>
        <w:rPr>
          <w:rFonts w:hint="eastAsia" w:ascii="Times New Roman"/>
          <w:color w:val="auto"/>
          <w:highlight w:val="none"/>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.7</w:t>
      </w:r>
      <w:r>
        <w:rPr>
          <w:rFonts w:hint="eastAsia" w:ascii="Times New Roman"/>
          <w:color w:val="auto"/>
          <w:highlight w:val="none"/>
        </w:rPr>
        <w:t>给出了宁夏引黄灌区应用较广的</w:t>
      </w:r>
      <w:r>
        <w:rPr>
          <w:rFonts w:hint="eastAsia" w:ascii="Times New Roman"/>
          <w:color w:val="auto"/>
          <w:kern w:val="2"/>
          <w:szCs w:val="21"/>
          <w:highlight w:val="none"/>
        </w:rPr>
        <w:t>胡格浩特</w:t>
      </w:r>
      <w:r>
        <w:rPr>
          <w:rFonts w:hint="eastAsia" w:ascii="Times New Roman"/>
          <w:color w:val="auto"/>
          <w:highlight w:val="none"/>
        </w:rPr>
        <w:t>简化计算公式；</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.8</w:t>
      </w:r>
      <w:r>
        <w:rPr>
          <w:rFonts w:hint="eastAsia" w:ascii="Times New Roman"/>
          <w:color w:val="auto"/>
          <w:highlight w:val="none"/>
        </w:rPr>
        <w:t>为暗管间距的经验取值范围，仅供参考。</w:t>
      </w:r>
    </w:p>
    <w:p w14:paraId="08692F13">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hint="eastAsia" w:ascii="Times New Roman"/>
          <w:color w:val="auto"/>
          <w:highlight w:val="none"/>
        </w:rPr>
      </w:pPr>
      <w:r>
        <w:rPr>
          <w:rFonts w:hint="eastAsia" w:ascii="宋体" w:hAnsi="宋体" w:eastAsia="宋体" w:cs="宋体"/>
          <w:b/>
          <w:bCs/>
          <w:color w:val="auto"/>
          <w:highlight w:val="none"/>
          <w:lang w:val="en-US" w:eastAsia="zh-CN"/>
        </w:rPr>
        <w:t>G</w:t>
      </w:r>
      <w:r>
        <w:rPr>
          <w:rFonts w:hint="eastAsia" w:ascii="宋体" w:hAnsi="宋体" w:eastAsia="宋体" w:cs="宋体"/>
          <w:b/>
          <w:bCs/>
          <w:color w:val="auto"/>
          <w:highlight w:val="none"/>
        </w:rPr>
        <w:t>.2</w:t>
      </w:r>
      <w:r>
        <w:rPr>
          <w:rFonts w:ascii="Times New Roman"/>
          <w:b/>
          <w:bCs/>
          <w:color w:val="auto"/>
          <w:highlight w:val="none"/>
        </w:rPr>
        <w:t xml:space="preserve"> </w:t>
      </w:r>
      <w:r>
        <w:rPr>
          <w:rFonts w:ascii="Times New Roman"/>
          <w:color w:val="auto"/>
          <w:highlight w:val="none"/>
        </w:rPr>
        <w:t>稳定渗流条件下，稻田淹灌或盐碱地冲洗时，田间排水</w:t>
      </w:r>
      <w:r>
        <w:rPr>
          <w:rFonts w:hint="eastAsia" w:ascii="Times New Roman"/>
          <w:color w:val="auto"/>
          <w:highlight w:val="none"/>
        </w:rPr>
        <w:t>暗</w:t>
      </w:r>
      <w:r>
        <w:rPr>
          <w:rFonts w:ascii="Times New Roman"/>
          <w:color w:val="auto"/>
          <w:highlight w:val="none"/>
        </w:rPr>
        <w:t>管间距按式</w:t>
      </w:r>
      <w:r>
        <w:rPr>
          <w:rFonts w:hint="eastAsia" w:ascii="Times New Roman"/>
          <w:color w:val="auto"/>
          <w:highlight w:val="none"/>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.2-1</w:t>
      </w:r>
      <w:r>
        <w:rPr>
          <w:rFonts w:hint="eastAsia" w:ascii="Times New Roman"/>
          <w:color w:val="auto"/>
          <w:highlight w:val="none"/>
        </w:rPr>
        <w:t>）</w:t>
      </w:r>
      <w:r>
        <w:rPr>
          <w:rFonts w:ascii="Times New Roman"/>
          <w:color w:val="auto"/>
          <w:highlight w:val="none"/>
        </w:rPr>
        <w:t>计算</w:t>
      </w:r>
      <w:r>
        <w:rPr>
          <w:rFonts w:hint="eastAsia" w:ascii="Times New Roman"/>
          <w:color w:val="auto"/>
          <w:highlight w:val="none"/>
        </w:rPr>
        <w:t>：</w:t>
      </w:r>
    </w:p>
    <w:p w14:paraId="751E23B3">
      <w:pPr>
        <w:pStyle w:val="108"/>
        <w:jc w:val="right"/>
        <w:rPr>
          <w:rFonts w:hint="eastAsia"/>
          <w:color w:val="auto"/>
          <w:highlight w:val="none"/>
          <w:lang w:eastAsia="zh-CN"/>
        </w:rPr>
      </w:pPr>
      <w:r>
        <w:rPr>
          <w:color w:val="auto"/>
          <w:highlight w:val="none"/>
        </w:rPr>
        <w:tab/>
      </w:r>
      <w:r>
        <w:rPr>
          <w:color w:val="auto"/>
          <w:highlight w:val="none"/>
        </w:rPr>
        <w:t xml:space="preserve">            </w:t>
      </w:r>
      <w:r>
        <w:rPr>
          <w:color w:val="auto"/>
          <w:position w:val="-30"/>
          <w:highlight w:val="none"/>
        </w:rPr>
        <w:object>
          <v:shape id="_x0000_i1044" o:spt="75" type="#_x0000_t75" style="height:31.2pt;width:41.3pt;" o:ole="t" filled="f" o:preferrelative="t" stroked="f" coordsize="21600,21600">
            <v:path/>
            <v:fill on="f" focussize="0,0"/>
            <v:stroke on="f"/>
            <v:imagedata r:id="rId52" o:title=""/>
            <o:lock v:ext="edit" aspectratio="t"/>
            <w10:wrap type="none"/>
            <w10:anchorlock/>
          </v:shape>
          <o:OLEObject Type="Embed" ProgID="Equation.KSEE3" ShapeID="_x0000_i1044" DrawAspect="Content" ObjectID="_1468075744" r:id="rId51">
            <o:LockedField>false</o:LockedField>
          </o:OLEObject>
        </w:object>
      </w:r>
      <w:r>
        <w:rPr>
          <w:rFonts w:hint="eastAsia"/>
          <w:color w:val="auto"/>
          <w:highlight w:val="none"/>
          <w:lang w:val="en-US" w:eastAsia="zh-CN"/>
        </w:rPr>
        <w:t xml:space="preserve">                                   </w:t>
      </w:r>
      <w:r>
        <w:rPr>
          <w:rFonts w:hint="eastAsia"/>
          <w:color w:val="auto"/>
          <w:highlight w:val="none"/>
          <w:lang w:eastAsia="zh-CN"/>
        </w:rPr>
        <w:t>（</w:t>
      </w:r>
      <w:r>
        <w:rPr>
          <w:rFonts w:hint="eastAsia"/>
          <w:color w:val="auto"/>
          <w:highlight w:val="none"/>
          <w:lang w:val="en-US" w:eastAsia="zh-CN"/>
        </w:rPr>
        <w:t>G</w:t>
      </w:r>
      <w:r>
        <w:rPr>
          <w:color w:val="auto"/>
          <w:highlight w:val="none"/>
        </w:rPr>
        <w:t>.2-1</w:t>
      </w:r>
      <w:r>
        <w:rPr>
          <w:rFonts w:hint="eastAsia"/>
          <w:color w:val="auto"/>
          <w:highlight w:val="none"/>
          <w:lang w:eastAsia="zh-CN"/>
        </w:rPr>
        <w:t>）</w:t>
      </w:r>
    </w:p>
    <w:p w14:paraId="2CA77550">
      <w:pPr>
        <w:keepNext w:val="0"/>
        <w:keepLines w:val="0"/>
        <w:pageBreakBefore w:val="0"/>
        <w:widowControl w:val="0"/>
        <w:kinsoku/>
        <w:wordWrap/>
        <w:overflowPunct/>
        <w:topLinePunct w:val="0"/>
        <w:autoSpaceDE w:val="0"/>
        <w:autoSpaceDN w:val="0"/>
        <w:bidi w:val="0"/>
        <w:adjustRightInd w:val="0"/>
        <w:snapToGrid w:val="0"/>
        <w:spacing w:line="240" w:lineRule="auto"/>
        <w:ind w:firstLine="420" w:firstLineChars="200"/>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式中：</w:t>
      </w:r>
    </w:p>
    <w:p w14:paraId="337C428F">
      <w:pPr>
        <w:keepNext w:val="0"/>
        <w:keepLines w:val="0"/>
        <w:pageBreakBefore w:val="0"/>
        <w:widowControl w:val="0"/>
        <w:kinsoku/>
        <w:wordWrap/>
        <w:overflowPunct/>
        <w:topLinePunct w:val="0"/>
        <w:autoSpaceDE w:val="0"/>
        <w:autoSpaceDN w:val="0"/>
        <w:bidi w:val="0"/>
        <w:adjustRightInd w:val="0"/>
        <w:snapToGrid w:val="0"/>
        <w:spacing w:line="240" w:lineRule="auto"/>
        <w:ind w:firstLine="420" w:firstLineChars="200"/>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i/>
          <w:iCs/>
          <w:color w:val="auto"/>
          <w:szCs w:val="21"/>
          <w:highlight w:val="none"/>
        </w:rPr>
        <w:t>B</w:t>
      </w:r>
      <w:r>
        <w:rPr>
          <w:rFonts w:hint="default" w:ascii="Times New Roman" w:hAnsi="Times New Roman" w:eastAsia="宋体" w:cs="Times New Roman"/>
          <w:color w:val="auto"/>
          <w:szCs w:val="21"/>
          <w:highlight w:val="none"/>
        </w:rPr>
        <w:t>——排水暗管间距，m；</w:t>
      </w:r>
    </w:p>
    <w:p w14:paraId="70631874">
      <w:pPr>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 xml:space="preserve">    </w:t>
      </w:r>
      <w:r>
        <w:rPr>
          <w:rFonts w:hint="default" w:ascii="Times New Roman" w:hAnsi="Times New Roman" w:eastAsia="宋体" w:cs="Times New Roman"/>
          <w:i/>
          <w:iCs/>
          <w:color w:val="auto"/>
          <w:szCs w:val="21"/>
          <w:highlight w:val="none"/>
        </w:rPr>
        <w:t>K</w:t>
      </w:r>
      <w:r>
        <w:rPr>
          <w:rFonts w:hint="default" w:ascii="Times New Roman" w:hAnsi="Times New Roman" w:eastAsia="宋体" w:cs="Times New Roman"/>
          <w:color w:val="auto"/>
          <w:szCs w:val="21"/>
          <w:highlight w:val="none"/>
        </w:rPr>
        <w:t>——排水地段含水层的平均渗透系数，m/d；</w:t>
      </w:r>
    </w:p>
    <w:p w14:paraId="761212B7">
      <w:pPr>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 xml:space="preserve">   </w:t>
      </w:r>
      <w:r>
        <w:rPr>
          <w:rFonts w:hint="default" w:ascii="Times New Roman" w:hAnsi="Times New Roman" w:eastAsia="宋体" w:cs="Times New Roman"/>
          <w:i/>
          <w:iCs/>
          <w:color w:val="auto"/>
          <w:szCs w:val="21"/>
          <w:highlight w:val="none"/>
        </w:rPr>
        <w:t xml:space="preserve"> H</w:t>
      </w:r>
      <w:r>
        <w:rPr>
          <w:rFonts w:hint="default" w:ascii="Times New Roman" w:hAnsi="Times New Roman" w:eastAsia="宋体" w:cs="Times New Roman"/>
          <w:color w:val="auto"/>
          <w:szCs w:val="21"/>
          <w:highlight w:val="none"/>
        </w:rPr>
        <w:t>——作用水头，m，一般指田面水位至暗管中心的距离，当暗管中水深很小时，可近似用排水暗管的深度替代；若暗管为压力流时，应取田面水位与承压水位的差值；</w:t>
      </w:r>
    </w:p>
    <w:p w14:paraId="36F45B38">
      <w:pPr>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 xml:space="preserve">   </w:t>
      </w:r>
      <w:r>
        <w:rPr>
          <w:rFonts w:hint="default" w:ascii="Times New Roman" w:hAnsi="Times New Roman" w:eastAsia="宋体" w:cs="Times New Roman"/>
          <w:i/>
          <w:iCs/>
          <w:color w:val="auto"/>
          <w:szCs w:val="21"/>
          <w:highlight w:val="none"/>
        </w:rPr>
        <w:t xml:space="preserve"> </w:t>
      </w:r>
      <w:r>
        <w:rPr>
          <w:rFonts w:hint="default" w:ascii="Times New Roman" w:hAnsi="Times New Roman" w:eastAsia="宋体" w:cs="Times New Roman"/>
          <w:i/>
          <w:iCs/>
          <w:color w:val="auto"/>
          <w:szCs w:val="21"/>
          <w:highlight w:val="none"/>
          <w:lang w:val="en-US" w:eastAsia="zh-CN"/>
        </w:rPr>
        <w:t>q</w:t>
      </w:r>
      <w:r>
        <w:rPr>
          <w:rFonts w:hint="default" w:ascii="Times New Roman" w:hAnsi="Times New Roman" w:eastAsia="宋体" w:cs="Times New Roman"/>
          <w:color w:val="auto"/>
          <w:szCs w:val="21"/>
          <w:highlight w:val="none"/>
        </w:rPr>
        <w:t>——稻田淹灌或盐碱地冲洗时的设计渗漏率，m/d；</w:t>
      </w:r>
    </w:p>
    <w:p w14:paraId="2AB1AB6C">
      <w:pPr>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 xml:space="preserve">    </w:t>
      </w:r>
      <w:r>
        <w:rPr>
          <w:rFonts w:hint="default" w:ascii="Times New Roman" w:hAnsi="Times New Roman" w:eastAsia="宋体" w:cs="Times New Roman"/>
          <w:i/>
          <w:iCs/>
          <w:color w:val="auto"/>
          <w:szCs w:val="21"/>
          <w:highlight w:val="none"/>
        </w:rPr>
        <w:t>Φ</w:t>
      </w:r>
      <w:r>
        <w:rPr>
          <w:rFonts w:hint="default" w:ascii="Times New Roman" w:hAnsi="Times New Roman" w:eastAsia="宋体" w:cs="Times New Roman"/>
          <w:i/>
          <w:iCs/>
          <w:color w:val="auto"/>
          <w:szCs w:val="21"/>
          <w:highlight w:val="none"/>
          <w:vertAlign w:val="subscript"/>
          <w:lang w:val="en-US" w:eastAsia="zh-CN"/>
        </w:rPr>
        <w:t>0</w:t>
      </w:r>
      <w:r>
        <w:rPr>
          <w:rFonts w:hint="default" w:ascii="Times New Roman" w:hAnsi="Times New Roman" w:eastAsia="宋体" w:cs="Times New Roman"/>
          <w:color w:val="auto"/>
          <w:szCs w:val="21"/>
          <w:highlight w:val="none"/>
        </w:rPr>
        <w:t>——排水地段的渗流阻抗系数。</w:t>
      </w:r>
    </w:p>
    <w:p w14:paraId="3442704B">
      <w:pPr>
        <w:keepNext w:val="0"/>
        <w:keepLines w:val="0"/>
        <w:pageBreakBefore w:val="0"/>
        <w:kinsoku/>
        <w:wordWrap/>
        <w:overflowPunct/>
        <w:topLinePunct w:val="0"/>
        <w:autoSpaceDE w:val="0"/>
        <w:autoSpaceDN w:val="0"/>
        <w:bidi w:val="0"/>
        <w:adjustRightInd w:val="0"/>
        <w:snapToGrid/>
        <w:spacing w:line="240" w:lineRule="auto"/>
        <w:jc w:val="left"/>
        <w:textAlignment w:val="auto"/>
        <w:rPr>
          <w:rFonts w:hint="eastAsia"/>
          <w:color w:val="auto"/>
          <w:szCs w:val="21"/>
          <w:highlight w:val="none"/>
          <w:shd w:val="clear" w:color="auto" w:fill="auto"/>
        </w:rPr>
      </w:pPr>
      <w:r>
        <w:rPr>
          <w:rFonts w:hint="eastAsia" w:ascii="宋体" w:hAnsi="宋体" w:eastAsia="宋体" w:cs="宋体"/>
          <w:b/>
          <w:bCs/>
          <w:color w:val="auto"/>
          <w:szCs w:val="21"/>
          <w:highlight w:val="none"/>
          <w:shd w:val="clear" w:color="auto" w:fill="auto"/>
          <w:lang w:val="en-US" w:eastAsia="zh-CN"/>
        </w:rPr>
        <w:t>G</w:t>
      </w:r>
      <w:r>
        <w:rPr>
          <w:rFonts w:hint="eastAsia" w:ascii="宋体" w:hAnsi="宋体" w:eastAsia="宋体" w:cs="宋体"/>
          <w:b/>
          <w:bCs/>
          <w:color w:val="auto"/>
          <w:szCs w:val="21"/>
          <w:highlight w:val="none"/>
          <w:shd w:val="clear" w:color="auto" w:fill="auto"/>
        </w:rPr>
        <w:t>.3</w:t>
      </w:r>
      <w:r>
        <w:rPr>
          <w:color w:val="auto"/>
          <w:szCs w:val="21"/>
          <w:highlight w:val="none"/>
          <w:shd w:val="clear" w:color="auto" w:fill="auto"/>
        </w:rPr>
        <w:t xml:space="preserve"> 排水地段的渗流阻抗系数可分别按以下情况近似计算</w:t>
      </w:r>
      <w:r>
        <w:rPr>
          <w:rFonts w:hint="eastAsia"/>
          <w:color w:val="auto"/>
          <w:szCs w:val="21"/>
          <w:highlight w:val="none"/>
          <w:shd w:val="clear" w:color="auto" w:fill="auto"/>
        </w:rPr>
        <w:t>：</w:t>
      </w:r>
    </w:p>
    <w:p w14:paraId="4DBEC747">
      <w:pPr>
        <w:pStyle w:val="85"/>
        <w:keepNext w:val="0"/>
        <w:keepLines w:val="0"/>
        <w:pageBreakBefore w:val="0"/>
        <w:numPr>
          <w:ilvl w:val="0"/>
          <w:numId w:val="0"/>
        </w:numPr>
        <w:tabs>
          <w:tab w:val="clear" w:pos="845"/>
        </w:tabs>
        <w:kinsoku/>
        <w:wordWrap/>
        <w:overflowPunct/>
        <w:topLinePunct w:val="0"/>
        <w:bidi w:val="0"/>
        <w:snapToGrid/>
        <w:spacing w:line="240" w:lineRule="auto"/>
        <w:ind w:firstLine="420" w:firstLineChars="200"/>
        <w:textAlignment w:val="auto"/>
        <w:rPr>
          <w:rFonts w:ascii="Times New Roman"/>
          <w:color w:val="auto"/>
          <w:highlight w:val="none"/>
          <w:shd w:val="clear" w:color="auto" w:fill="auto"/>
        </w:rPr>
      </w:pPr>
      <w:r>
        <w:rPr>
          <w:rFonts w:hint="eastAsia" w:ascii="Times New Roman"/>
          <w:color w:val="auto"/>
          <w:highlight w:val="none"/>
          <w:shd w:val="clear" w:color="auto" w:fill="auto"/>
          <w:lang w:eastAsia="zh-CN"/>
        </w:rPr>
        <w:t>（</w:t>
      </w:r>
      <w:r>
        <w:rPr>
          <w:rFonts w:hint="eastAsia" w:ascii="Times New Roman"/>
          <w:color w:val="auto"/>
          <w:highlight w:val="none"/>
          <w:shd w:val="clear" w:color="auto" w:fill="auto"/>
          <w:lang w:val="en-US" w:eastAsia="zh-CN"/>
        </w:rPr>
        <w:t>1</w:t>
      </w:r>
      <w:r>
        <w:rPr>
          <w:rFonts w:hint="eastAsia" w:ascii="Times New Roman"/>
          <w:color w:val="auto"/>
          <w:highlight w:val="none"/>
          <w:shd w:val="clear" w:color="auto" w:fill="auto"/>
          <w:lang w:eastAsia="zh-CN"/>
        </w:rPr>
        <w:t>）</w:t>
      </w:r>
      <w:r>
        <w:rPr>
          <w:rFonts w:ascii="Times New Roman"/>
          <w:color w:val="auto"/>
          <w:highlight w:val="none"/>
          <w:shd w:val="clear" w:color="auto" w:fill="auto"/>
        </w:rPr>
        <w:t xml:space="preserve"> 田面全部覆盖水层，暗管排水地段的渗流阻抗系数可按（</w:t>
      </w:r>
      <w:r>
        <w:rPr>
          <w:rFonts w:hint="eastAsia" w:ascii="宋体" w:hAnsi="宋体" w:eastAsia="宋体" w:cs="宋体"/>
          <w:color w:val="auto"/>
          <w:highlight w:val="none"/>
          <w:shd w:val="clear" w:color="auto" w:fill="auto"/>
          <w:lang w:val="en-US" w:eastAsia="zh-CN"/>
        </w:rPr>
        <w:t>G</w:t>
      </w:r>
      <w:r>
        <w:rPr>
          <w:rFonts w:hint="eastAsia" w:ascii="宋体" w:hAnsi="宋体" w:eastAsia="宋体" w:cs="宋体"/>
          <w:color w:val="auto"/>
          <w:highlight w:val="none"/>
          <w:shd w:val="clear" w:color="auto" w:fill="auto"/>
        </w:rPr>
        <w:t>.3-1）和式（</w:t>
      </w:r>
      <w:r>
        <w:rPr>
          <w:rFonts w:hint="eastAsia" w:ascii="宋体" w:hAnsi="宋体" w:eastAsia="宋体" w:cs="宋体"/>
          <w:color w:val="auto"/>
          <w:highlight w:val="none"/>
          <w:shd w:val="clear" w:color="auto" w:fill="auto"/>
          <w:lang w:val="en-US" w:eastAsia="zh-CN"/>
        </w:rPr>
        <w:t>G</w:t>
      </w:r>
      <w:r>
        <w:rPr>
          <w:rFonts w:hint="eastAsia" w:ascii="宋体" w:hAnsi="宋体" w:eastAsia="宋体" w:cs="宋体"/>
          <w:color w:val="auto"/>
          <w:highlight w:val="none"/>
          <w:shd w:val="clear" w:color="auto" w:fill="auto"/>
        </w:rPr>
        <w:t>.3-2</w:t>
      </w:r>
      <w:r>
        <w:rPr>
          <w:rFonts w:ascii="Times New Roman"/>
          <w:color w:val="auto"/>
          <w:highlight w:val="none"/>
          <w:shd w:val="clear" w:color="auto" w:fill="auto"/>
        </w:rPr>
        <w:t>）计算：</w:t>
      </w:r>
    </w:p>
    <w:p w14:paraId="0C567E80">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26"/>
          <w:highlight w:val="none"/>
        </w:rPr>
        <w:object>
          <v:shape id="_x0000_i1045" o:spt="75" type="#_x0000_t75" style="height:36pt;width:123pt;" o:ole="t" filled="f" o:preferrelative="t" stroked="f" coordsize="21600,21600">
            <v:path/>
            <v:fill on="f" focussize="0,0"/>
            <v:stroke on="f"/>
            <v:imagedata r:id="rId54" o:title=""/>
            <o:lock v:ext="edit" aspectratio="t"/>
            <w10:wrap type="none"/>
            <w10:anchorlock/>
          </v:shape>
          <o:OLEObject Type="Embed" ProgID="Equation.KSEE3" ShapeID="_x0000_i1045" DrawAspect="Content" ObjectID="_1468075745" r:id="rId53">
            <o:LockedField>false</o:LockedField>
          </o:OLEObject>
        </w:object>
      </w:r>
      <w:r>
        <w:rPr>
          <w:rFonts w:ascii="Times New Roman"/>
          <w:color w:val="auto"/>
          <w:highlight w:val="none"/>
        </w:rPr>
        <w:t xml:space="preserve">    </w:t>
      </w:r>
      <w:r>
        <w:rPr>
          <w:rFonts w:hint="eastAsia"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.3-</w:t>
      </w:r>
      <w:r>
        <w:rPr>
          <w:rFonts w:hint="eastAsia" w:ascii="宋体" w:hAnsi="宋体" w:eastAsia="宋体" w:cs="宋体"/>
          <w:color w:val="auto"/>
          <w:highlight w:val="none"/>
          <w:lang w:val="en-US" w:eastAsia="zh-CN"/>
        </w:rPr>
        <w:t>1</w:t>
      </w:r>
      <w:r>
        <w:rPr>
          <w:rFonts w:ascii="Times New Roman"/>
          <w:color w:val="auto"/>
          <w:highlight w:val="none"/>
          <w:lang w:eastAsia="zh-CN"/>
        </w:rPr>
        <w:t>）</w:t>
      </w:r>
    </w:p>
    <w:p w14:paraId="711DD5F6">
      <w:pPr>
        <w:keepNext w:val="0"/>
        <w:keepLines w:val="0"/>
        <w:pageBreakBefore w:val="0"/>
        <w:widowControl w:val="0"/>
        <w:kinsoku/>
        <w:wordWrap/>
        <w:overflowPunct/>
        <w:topLinePunct w:val="0"/>
        <w:autoSpaceDE w:val="0"/>
        <w:autoSpaceDN w:val="0"/>
        <w:bidi w:val="0"/>
        <w:adjustRightInd w:val="0"/>
        <w:snapToGrid w:val="0"/>
        <w:spacing w:line="240" w:lineRule="auto"/>
        <w:ind w:firstLine="420" w:firstLineChars="200"/>
        <w:jc w:val="left"/>
        <w:textAlignment w:val="auto"/>
        <w:rPr>
          <w:color w:val="auto"/>
          <w:szCs w:val="21"/>
          <w:highlight w:val="none"/>
        </w:rPr>
      </w:pPr>
      <w:r>
        <w:rPr>
          <w:color w:val="auto"/>
          <w:szCs w:val="21"/>
          <w:highlight w:val="none"/>
        </w:rPr>
        <w:t xml:space="preserve">式中   </w:t>
      </w:r>
    </w:p>
    <w:p w14:paraId="66BF46F4">
      <w:pPr>
        <w:keepNext w:val="0"/>
        <w:keepLines w:val="0"/>
        <w:pageBreakBefore w:val="0"/>
        <w:widowControl w:val="0"/>
        <w:kinsoku/>
        <w:wordWrap/>
        <w:overflowPunct/>
        <w:topLinePunct w:val="0"/>
        <w:autoSpaceDE w:val="0"/>
        <w:autoSpaceDN w:val="0"/>
        <w:bidi w:val="0"/>
        <w:adjustRightInd w:val="0"/>
        <w:snapToGrid w:val="0"/>
        <w:spacing w:line="240" w:lineRule="auto"/>
        <w:ind w:firstLine="420" w:firstLineChars="200"/>
        <w:jc w:val="left"/>
        <w:textAlignment w:val="auto"/>
        <w:rPr>
          <w:rFonts w:hint="default" w:ascii="Times New Roman" w:hAnsi="Times New Roman" w:eastAsia="宋体" w:cs="Times New Roman"/>
          <w:i w:val="0"/>
          <w:iCs w:val="0"/>
          <w:color w:val="auto"/>
          <w:szCs w:val="21"/>
          <w:highlight w:val="none"/>
        </w:rPr>
      </w:pPr>
      <w:r>
        <w:rPr>
          <w:rFonts w:hint="eastAsia" w:ascii="Times New Roman" w:hAnsi="Times New Roman" w:eastAsia="宋体" w:cs="Times New Roman"/>
          <w:i/>
          <w:iCs/>
          <w:color w:val="auto"/>
          <w:szCs w:val="21"/>
          <w:highlight w:val="none"/>
          <w:lang w:val="en-US" w:eastAsia="zh-CN"/>
        </w:rPr>
        <w:t>h</w:t>
      </w:r>
      <w:r>
        <w:rPr>
          <w:rFonts w:hint="eastAsia" w:ascii="Times New Roman" w:hAnsi="Times New Roman" w:eastAsia="宋体" w:cs="Times New Roman"/>
          <w:i/>
          <w:iCs/>
          <w:color w:val="auto"/>
          <w:szCs w:val="21"/>
          <w:highlight w:val="none"/>
          <w:vertAlign w:val="subscript"/>
          <w:lang w:val="en-US" w:eastAsia="zh-CN"/>
        </w:rPr>
        <w:t>q</w:t>
      </w:r>
      <w:r>
        <w:rPr>
          <w:rFonts w:hint="default" w:ascii="Times New Roman" w:hAnsi="Times New Roman" w:eastAsia="宋体" w:cs="Times New Roman"/>
          <w:i w:val="0"/>
          <w:iCs w:val="0"/>
          <w:color w:val="auto"/>
          <w:szCs w:val="21"/>
          <w:highlight w:val="none"/>
        </w:rPr>
        <w:t>——暗管中心的埋深，m；</w:t>
      </w:r>
    </w:p>
    <w:p w14:paraId="15AA3D3B">
      <w:pPr>
        <w:keepNext w:val="0"/>
        <w:keepLines w:val="0"/>
        <w:pageBreakBefore w:val="0"/>
        <w:widowControl w:val="0"/>
        <w:kinsoku/>
        <w:wordWrap/>
        <w:overflowPunct/>
        <w:topLinePunct w:val="0"/>
        <w:autoSpaceDE w:val="0"/>
        <w:autoSpaceDN w:val="0"/>
        <w:bidi w:val="0"/>
        <w:adjustRightInd w:val="0"/>
        <w:snapToGrid w:val="0"/>
        <w:spacing w:line="240" w:lineRule="auto"/>
        <w:ind w:firstLine="420" w:firstLineChars="200"/>
        <w:jc w:val="left"/>
        <w:textAlignment w:val="auto"/>
        <w:rPr>
          <w:rFonts w:hint="eastAsia" w:ascii="Times New Roman" w:hAnsi="Times New Roman" w:eastAsia="宋体" w:cs="Times New Roman"/>
          <w:i w:val="0"/>
          <w:iCs w:val="0"/>
          <w:color w:val="auto"/>
          <w:szCs w:val="21"/>
          <w:highlight w:val="none"/>
        </w:rPr>
      </w:pPr>
      <w:r>
        <w:rPr>
          <w:rFonts w:hint="eastAsia" w:ascii="Times New Roman" w:hAnsi="Times New Roman" w:eastAsia="宋体" w:cs="Times New Roman"/>
          <w:i/>
          <w:iCs/>
          <w:color w:val="auto"/>
          <w:szCs w:val="21"/>
          <w:highlight w:val="none"/>
          <w:lang w:val="en-US" w:eastAsia="zh-CN"/>
        </w:rPr>
        <w:t>d</w:t>
      </w:r>
      <w:r>
        <w:rPr>
          <w:rFonts w:hint="default" w:ascii="Times New Roman" w:hAnsi="Times New Roman" w:eastAsia="宋体" w:cs="Times New Roman"/>
          <w:i w:val="0"/>
          <w:iCs w:val="0"/>
          <w:color w:val="auto"/>
          <w:szCs w:val="21"/>
          <w:highlight w:val="none"/>
        </w:rPr>
        <w:t>——暗管的外径（含外包滤料厚度），m</w:t>
      </w:r>
      <w:r>
        <w:rPr>
          <w:rFonts w:hint="eastAsia" w:ascii="Times New Roman" w:hAnsi="Times New Roman" w:eastAsia="宋体" w:cs="Times New Roman"/>
          <w:i w:val="0"/>
          <w:iCs w:val="0"/>
          <w:color w:val="auto"/>
          <w:szCs w:val="21"/>
          <w:highlight w:val="none"/>
        </w:rPr>
        <w:t>；</w:t>
      </w:r>
    </w:p>
    <w:p w14:paraId="7DA12988">
      <w:pPr>
        <w:keepNext w:val="0"/>
        <w:keepLines w:val="0"/>
        <w:pageBreakBefore w:val="0"/>
        <w:widowControl w:val="0"/>
        <w:kinsoku/>
        <w:wordWrap/>
        <w:overflowPunct/>
        <w:topLinePunct w:val="0"/>
        <w:autoSpaceDE w:val="0"/>
        <w:autoSpaceDN w:val="0"/>
        <w:bidi w:val="0"/>
        <w:adjustRightInd w:val="0"/>
        <w:snapToGrid w:val="0"/>
        <w:spacing w:line="240" w:lineRule="auto"/>
        <w:ind w:firstLine="420" w:firstLineChars="200"/>
        <w:jc w:val="left"/>
        <w:textAlignment w:val="auto"/>
        <w:rPr>
          <w:rFonts w:hint="default" w:ascii="Times New Roman" w:hAnsi="Times New Roman" w:eastAsia="宋体" w:cs="Times New Roman"/>
          <w:i w:val="0"/>
          <w:iCs w:val="0"/>
          <w:color w:val="auto"/>
          <w:szCs w:val="21"/>
          <w:highlight w:val="none"/>
        </w:rPr>
      </w:pPr>
      <w:r>
        <w:rPr>
          <w:rFonts w:hint="eastAsia" w:ascii="Times New Roman" w:hAnsi="Times New Roman" w:eastAsia="宋体" w:cs="Times New Roman"/>
          <w:i/>
          <w:iCs/>
          <w:color w:val="auto"/>
          <w:szCs w:val="21"/>
          <w:highlight w:val="none"/>
          <w:lang w:val="en-US" w:eastAsia="zh-CN"/>
        </w:rPr>
        <w:t>T</w:t>
      </w:r>
      <w:r>
        <w:rPr>
          <w:rFonts w:hint="default" w:ascii="Times New Roman" w:hAnsi="Times New Roman" w:eastAsia="宋体" w:cs="Times New Roman"/>
          <w:i w:val="0"/>
          <w:iCs w:val="0"/>
          <w:color w:val="auto"/>
          <w:szCs w:val="21"/>
          <w:highlight w:val="none"/>
        </w:rPr>
        <w:t>——田面至不透水层的距离，m。</w:t>
      </w:r>
    </w:p>
    <w:p w14:paraId="12947151">
      <w:pPr>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color w:val="auto"/>
          <w:szCs w:val="21"/>
          <w:highlight w:val="none"/>
        </w:rPr>
      </w:pPr>
      <w:r>
        <w:rPr>
          <w:color w:val="auto"/>
          <w:szCs w:val="21"/>
          <w:highlight w:val="none"/>
        </w:rPr>
        <w:t>当</w:t>
      </w:r>
      <w:r>
        <w:rPr>
          <w:rFonts w:hint="eastAsia" w:ascii="Times New Roman" w:hAnsi="Times New Roman" w:eastAsia="宋体" w:cs="Times New Roman"/>
          <w:i/>
          <w:iCs/>
          <w:color w:val="auto"/>
          <w:szCs w:val="21"/>
          <w:highlight w:val="none"/>
          <w:lang w:val="en-US" w:eastAsia="zh-CN"/>
        </w:rPr>
        <w:t>T</w:t>
      </w:r>
      <w:r>
        <w:rPr>
          <w:rFonts w:hint="eastAsia" w:ascii="Times New Roman" w:hAnsi="Times New Roman" w:eastAsia="宋体" w:cs="Times New Roman"/>
          <w:i w:val="0"/>
          <w:iCs w:val="0"/>
          <w:color w:val="auto"/>
          <w:szCs w:val="21"/>
          <w:highlight w:val="none"/>
          <w:lang w:val="en-US" w:eastAsia="zh-CN"/>
        </w:rPr>
        <w:t>＞5</w:t>
      </w:r>
      <w:r>
        <w:rPr>
          <w:rFonts w:hint="eastAsia" w:ascii="Times New Roman" w:hAnsi="Times New Roman" w:eastAsia="宋体" w:cs="Times New Roman"/>
          <w:i/>
          <w:iCs/>
          <w:color w:val="auto"/>
          <w:szCs w:val="21"/>
          <w:highlight w:val="none"/>
          <w:lang w:val="en-US" w:eastAsia="zh-CN"/>
        </w:rPr>
        <w:t>h</w:t>
      </w:r>
      <w:r>
        <w:rPr>
          <w:rFonts w:hint="eastAsia" w:ascii="Times New Roman" w:hAnsi="Times New Roman" w:eastAsia="宋体" w:cs="Times New Roman"/>
          <w:i/>
          <w:iCs/>
          <w:color w:val="auto"/>
          <w:szCs w:val="21"/>
          <w:highlight w:val="none"/>
          <w:vertAlign w:val="subscript"/>
          <w:lang w:val="en-US" w:eastAsia="zh-CN"/>
        </w:rPr>
        <w:t>q</w:t>
      </w:r>
      <w:r>
        <w:rPr>
          <w:color w:val="auto"/>
          <w:szCs w:val="21"/>
          <w:highlight w:val="none"/>
        </w:rPr>
        <w:t>时</w:t>
      </w:r>
    </w:p>
    <w:p w14:paraId="1E2C3836">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26"/>
          <w:highlight w:val="none"/>
        </w:rPr>
        <w:object>
          <v:shape id="_x0000_i1046" o:spt="75" type="#_x0000_t75" style="height:36pt;width:90pt;" o:ole="t" filled="f" o:preferrelative="t" stroked="f" coordsize="21600,21600">
            <v:path/>
            <v:fill on="f" focussize="0,0"/>
            <v:stroke on="f"/>
            <v:imagedata r:id="rId56" o:title=""/>
            <o:lock v:ext="edit" aspectratio="t"/>
            <w10:wrap type="none"/>
            <w10:anchorlock/>
          </v:shape>
          <o:OLEObject Type="Embed" ProgID="Equation.KSEE3" ShapeID="_x0000_i1046" DrawAspect="Content" ObjectID="_1468075746" r:id="rId55">
            <o:LockedField>false</o:LockedField>
          </o:OLEObject>
        </w:object>
      </w:r>
      <w:r>
        <w:rPr>
          <w:rFonts w:ascii="Times New Roman"/>
          <w:color w:val="auto"/>
          <w:highlight w:val="none"/>
        </w:rPr>
        <w:t xml:space="preserve">    </w:t>
      </w:r>
      <w:r>
        <w:rPr>
          <w:rFonts w:hint="eastAsia"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.3-</w:t>
      </w:r>
      <w:r>
        <w:rPr>
          <w:rFonts w:hint="eastAsia" w:ascii="宋体" w:hAnsi="宋体" w:eastAsia="宋体" w:cs="宋体"/>
          <w:color w:val="auto"/>
          <w:highlight w:val="none"/>
          <w:lang w:val="en-US" w:eastAsia="zh-CN"/>
        </w:rPr>
        <w:t>2</w:t>
      </w:r>
      <w:r>
        <w:rPr>
          <w:rFonts w:ascii="Times New Roman"/>
          <w:color w:val="auto"/>
          <w:highlight w:val="none"/>
          <w:lang w:eastAsia="zh-CN"/>
        </w:rPr>
        <w:t>）</w:t>
      </w:r>
    </w:p>
    <w:p w14:paraId="2CABA383">
      <w:pPr>
        <w:pStyle w:val="85"/>
        <w:keepNext w:val="0"/>
        <w:keepLines w:val="0"/>
        <w:pageBreakBefore w:val="0"/>
        <w:widowControl/>
        <w:numPr>
          <w:ilvl w:val="0"/>
          <w:numId w:val="0"/>
        </w:numPr>
        <w:tabs>
          <w:tab w:val="clear" w:pos="845"/>
        </w:tabs>
        <w:kinsoku/>
        <w:wordWrap/>
        <w:overflowPunct/>
        <w:topLinePunct w:val="0"/>
        <w:autoSpaceDE/>
        <w:autoSpaceDN/>
        <w:bidi w:val="0"/>
        <w:adjustRightInd/>
        <w:snapToGrid/>
        <w:ind w:left="420"/>
        <w:textAlignment w:val="auto"/>
        <w:rPr>
          <w:rFonts w:ascii="Times New Roman"/>
          <w:color w:val="auto"/>
          <w:highlight w:val="none"/>
        </w:rPr>
      </w:pPr>
      <w:r>
        <w:rPr>
          <w:rFonts w:hint="eastAsia" w:ascii="Times New Roman"/>
          <w:color w:val="auto"/>
          <w:highlight w:val="none"/>
          <w:lang w:eastAsia="zh-CN"/>
        </w:rPr>
        <w:t>（</w:t>
      </w:r>
      <w:r>
        <w:rPr>
          <w:rFonts w:hint="eastAsia" w:ascii="Times New Roman"/>
          <w:color w:val="auto"/>
          <w:highlight w:val="none"/>
          <w:lang w:val="en-US" w:eastAsia="zh-CN"/>
        </w:rPr>
        <w:t>2</w:t>
      </w:r>
      <w:r>
        <w:rPr>
          <w:rFonts w:hint="eastAsia" w:ascii="Times New Roman"/>
          <w:color w:val="auto"/>
          <w:highlight w:val="none"/>
          <w:lang w:eastAsia="zh-CN"/>
        </w:rPr>
        <w:t>）</w:t>
      </w:r>
      <w:r>
        <w:rPr>
          <w:rFonts w:ascii="Times New Roman"/>
          <w:color w:val="auto"/>
          <w:highlight w:val="none"/>
        </w:rPr>
        <w:t>田面大部覆盖水层，暗管排水地段的渗流阻抗系数可按式</w:t>
      </w:r>
      <w:r>
        <w:rPr>
          <w:rFonts w:hint="eastAsia" w:ascii="宋体" w:hAnsi="宋体" w:eastAsia="宋体" w:cs="宋体"/>
          <w:color w:val="auto"/>
          <w:highlight w:val="none"/>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.3-3）～式（</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.3-5</w:t>
      </w:r>
      <w:r>
        <w:rPr>
          <w:rFonts w:ascii="Times New Roman"/>
          <w:color w:val="auto"/>
          <w:highlight w:val="none"/>
        </w:rPr>
        <w:t>）计算：</w:t>
      </w:r>
    </w:p>
    <w:p w14:paraId="34680766">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24"/>
          <w:highlight w:val="none"/>
        </w:rPr>
        <w:object>
          <v:shape id="_x0000_i1047" o:spt="75" type="#_x0000_t75" style="height:31pt;width:109pt;" o:ole="t" filled="f" o:preferrelative="t" stroked="f" coordsize="21600,21600">
            <v:path/>
            <v:fill on="f" focussize="0,0"/>
            <v:stroke on="f"/>
            <v:imagedata r:id="rId58" o:title=""/>
            <o:lock v:ext="edit" aspectratio="t"/>
            <w10:wrap type="none"/>
            <w10:anchorlock/>
          </v:shape>
          <o:OLEObject Type="Embed" ProgID="Equation.KSEE3" ShapeID="_x0000_i1047" DrawAspect="Content" ObjectID="_1468075747" r:id="rId57">
            <o:LockedField>false</o:LockedField>
          </o:OLEObject>
        </w:object>
      </w:r>
      <w:r>
        <w:rPr>
          <w:rFonts w:ascii="Times New Roman"/>
          <w:color w:val="auto"/>
          <w:highlight w:val="none"/>
        </w:rPr>
        <w:t xml:space="preserve"> </w:t>
      </w:r>
      <w:r>
        <w:rPr>
          <w:rFonts w:hint="eastAsia"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.3-</w:t>
      </w:r>
      <w:r>
        <w:rPr>
          <w:rFonts w:hint="eastAsia" w:ascii="宋体" w:hAnsi="宋体" w:eastAsia="宋体" w:cs="宋体"/>
          <w:color w:val="auto"/>
          <w:highlight w:val="none"/>
          <w:lang w:val="en-US" w:eastAsia="zh-CN"/>
        </w:rPr>
        <w:t>3</w:t>
      </w:r>
      <w:r>
        <w:rPr>
          <w:rFonts w:ascii="Times New Roman"/>
          <w:color w:val="auto"/>
          <w:highlight w:val="none"/>
          <w:lang w:eastAsia="zh-CN"/>
        </w:rPr>
        <w:t>）</w:t>
      </w:r>
    </w:p>
    <w:p w14:paraId="089CC4C4">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62"/>
          <w:highlight w:val="none"/>
        </w:rPr>
        <w:object>
          <v:shape id="_x0000_i1048" o:spt="75" type="#_x0000_t75" style="height:66pt;width:167pt;" o:ole="t" filled="f" o:preferrelative="t" stroked="f" coordsize="21600,21600">
            <v:path/>
            <v:fill on="f" focussize="0,0"/>
            <v:stroke on="f"/>
            <v:imagedata r:id="rId60" o:title=""/>
            <o:lock v:ext="edit" aspectratio="t"/>
            <w10:wrap type="none"/>
            <w10:anchorlock/>
          </v:shape>
          <o:OLEObject Type="Embed" ProgID="Equation.KSEE3" ShapeID="_x0000_i1048" DrawAspect="Content" ObjectID="_1468075748" r:id="rId59">
            <o:LockedField>false</o:LockedField>
          </o:OLEObject>
        </w:object>
      </w:r>
      <w:r>
        <w:rPr>
          <w:rFonts w:ascii="Times New Roman"/>
          <w:color w:val="auto"/>
          <w:highlight w:val="none"/>
        </w:rPr>
        <w:t xml:space="preserve"> </w:t>
      </w:r>
      <w:r>
        <w:rPr>
          <w:rFonts w:hint="eastAsia"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.3-</w:t>
      </w:r>
      <w:r>
        <w:rPr>
          <w:rFonts w:hint="eastAsia" w:ascii="宋体" w:hAnsi="宋体" w:eastAsia="宋体" w:cs="宋体"/>
          <w:color w:val="auto"/>
          <w:highlight w:val="none"/>
          <w:lang w:val="en-US" w:eastAsia="zh-CN"/>
        </w:rPr>
        <w:t>4</w:t>
      </w:r>
      <w:r>
        <w:rPr>
          <w:rFonts w:ascii="Times New Roman"/>
          <w:color w:val="auto"/>
          <w:highlight w:val="none"/>
          <w:lang w:eastAsia="zh-CN"/>
        </w:rPr>
        <w:t>）</w:t>
      </w:r>
    </w:p>
    <w:p w14:paraId="6F8884B3">
      <w:pPr>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hint="eastAsia" w:eastAsia="宋体"/>
          <w:color w:val="auto"/>
          <w:szCs w:val="21"/>
          <w:highlight w:val="none"/>
          <w:lang w:eastAsia="zh-CN"/>
        </w:rPr>
      </w:pPr>
      <w:r>
        <w:rPr>
          <w:color w:val="auto"/>
          <w:szCs w:val="21"/>
          <w:highlight w:val="none"/>
        </w:rPr>
        <w:t>当</w:t>
      </w:r>
      <w:r>
        <w:rPr>
          <w:rFonts w:hint="eastAsia" w:ascii="Times New Roman" w:hAnsi="Times New Roman" w:eastAsia="宋体" w:cs="Times New Roman"/>
          <w:i/>
          <w:iCs/>
          <w:color w:val="auto"/>
          <w:szCs w:val="21"/>
          <w:highlight w:val="none"/>
          <w:lang w:val="en-US" w:eastAsia="zh-CN"/>
        </w:rPr>
        <w:t>T</w:t>
      </w:r>
      <w:r>
        <w:rPr>
          <w:rFonts w:hint="eastAsia" w:ascii="Times New Roman" w:hAnsi="Times New Roman" w:eastAsia="宋体" w:cs="Times New Roman"/>
          <w:i w:val="0"/>
          <w:iCs w:val="0"/>
          <w:color w:val="auto"/>
          <w:szCs w:val="21"/>
          <w:highlight w:val="none"/>
          <w:lang w:val="en-US" w:eastAsia="zh-CN"/>
        </w:rPr>
        <w:t>＞2</w:t>
      </w:r>
      <w:r>
        <w:rPr>
          <w:rFonts w:hint="default" w:ascii="Times New Roman" w:hAnsi="Times New Roman" w:eastAsia="宋体" w:cs="Times New Roman"/>
          <w:i w:val="0"/>
          <w:iCs w:val="0"/>
          <w:color w:val="auto"/>
          <w:szCs w:val="21"/>
          <w:highlight w:val="none"/>
          <w:lang w:val="en-US" w:eastAsia="zh-CN"/>
        </w:rPr>
        <w:t>α</w:t>
      </w:r>
      <w:r>
        <w:rPr>
          <w:color w:val="auto"/>
          <w:szCs w:val="21"/>
          <w:highlight w:val="none"/>
        </w:rPr>
        <w:t>和</w:t>
      </w:r>
      <w:r>
        <w:rPr>
          <w:rFonts w:hint="eastAsia" w:ascii="Times New Roman" w:hAnsi="Times New Roman" w:eastAsia="宋体" w:cs="Times New Roman"/>
          <w:i/>
          <w:iCs/>
          <w:color w:val="auto"/>
          <w:szCs w:val="21"/>
          <w:highlight w:val="none"/>
          <w:lang w:val="en-US" w:eastAsia="zh-CN"/>
        </w:rPr>
        <w:t>T</w:t>
      </w:r>
      <w:r>
        <w:rPr>
          <w:rFonts w:hint="eastAsia" w:ascii="Times New Roman" w:hAnsi="Times New Roman" w:eastAsia="宋体" w:cs="Times New Roman"/>
          <w:i w:val="0"/>
          <w:iCs w:val="0"/>
          <w:color w:val="auto"/>
          <w:szCs w:val="21"/>
          <w:highlight w:val="none"/>
          <w:lang w:val="en-US" w:eastAsia="zh-CN"/>
        </w:rPr>
        <w:t>＞5</w:t>
      </w:r>
      <w:r>
        <w:rPr>
          <w:rFonts w:hint="eastAsia" w:ascii="Times New Roman" w:hAnsi="Times New Roman" w:eastAsia="宋体" w:cs="Times New Roman"/>
          <w:i/>
          <w:iCs/>
          <w:color w:val="auto"/>
          <w:szCs w:val="21"/>
          <w:highlight w:val="none"/>
          <w:lang w:val="en-US" w:eastAsia="zh-CN"/>
        </w:rPr>
        <w:t>h</w:t>
      </w:r>
      <w:r>
        <w:rPr>
          <w:rFonts w:hint="eastAsia" w:ascii="Times New Roman" w:hAnsi="Times New Roman" w:eastAsia="宋体" w:cs="Times New Roman"/>
          <w:i/>
          <w:iCs/>
          <w:color w:val="auto"/>
          <w:szCs w:val="21"/>
          <w:highlight w:val="none"/>
          <w:vertAlign w:val="subscript"/>
          <w:lang w:val="en-US" w:eastAsia="zh-CN"/>
        </w:rPr>
        <w:t>q</w:t>
      </w:r>
      <w:r>
        <w:rPr>
          <w:color w:val="auto"/>
          <w:szCs w:val="21"/>
          <w:highlight w:val="none"/>
        </w:rPr>
        <w:t>时</w:t>
      </w:r>
      <w:r>
        <w:rPr>
          <w:rFonts w:hint="eastAsia"/>
          <w:color w:val="auto"/>
          <w:szCs w:val="21"/>
          <w:highlight w:val="none"/>
          <w:lang w:eastAsia="zh-CN"/>
        </w:rPr>
        <w:t>，</w:t>
      </w:r>
    </w:p>
    <w:p w14:paraId="6A80FBCF">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34"/>
          <w:highlight w:val="none"/>
        </w:rPr>
        <w:object>
          <v:shape id="_x0000_i1049" o:spt="75" type="#_x0000_t75" style="height:42pt;width:82pt;" o:ole="t" filled="f" o:preferrelative="t" stroked="f" coordsize="21600,21600">
            <v:path/>
            <v:fill on="f" focussize="0,0"/>
            <v:stroke on="f"/>
            <v:imagedata r:id="rId62" o:title=""/>
            <o:lock v:ext="edit" aspectratio="t"/>
            <w10:wrap type="none"/>
            <w10:anchorlock/>
          </v:shape>
          <o:OLEObject Type="Embed" ProgID="Equation.KSEE3" ShapeID="_x0000_i1049" DrawAspect="Content" ObjectID="_1468075749" r:id="rId61">
            <o:LockedField>false</o:LockedField>
          </o:OLEObject>
        </w:object>
      </w:r>
      <w:r>
        <w:rPr>
          <w:rFonts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.3-</w:t>
      </w:r>
      <w:r>
        <w:rPr>
          <w:rFonts w:hint="eastAsia" w:ascii="宋体" w:hAnsi="宋体" w:eastAsia="宋体" w:cs="宋体"/>
          <w:color w:val="auto"/>
          <w:highlight w:val="none"/>
          <w:lang w:val="en-US" w:eastAsia="zh-CN"/>
        </w:rPr>
        <w:t>5</w:t>
      </w:r>
      <w:r>
        <w:rPr>
          <w:rFonts w:ascii="Times New Roman"/>
          <w:color w:val="auto"/>
          <w:highlight w:val="none"/>
          <w:lang w:eastAsia="zh-CN"/>
        </w:rPr>
        <w:t>）</w:t>
      </w:r>
    </w:p>
    <w:p w14:paraId="0CC163A5">
      <w:pPr>
        <w:keepNext w:val="0"/>
        <w:keepLines w:val="0"/>
        <w:pageBreakBefore w:val="0"/>
        <w:widowControl w:val="0"/>
        <w:kinsoku/>
        <w:wordWrap/>
        <w:overflowPunct/>
        <w:topLinePunct w:val="0"/>
        <w:autoSpaceDE w:val="0"/>
        <w:autoSpaceDN w:val="0"/>
        <w:bidi w:val="0"/>
        <w:adjustRightInd w:val="0"/>
        <w:snapToGrid w:val="0"/>
        <w:spacing w:line="240" w:lineRule="auto"/>
        <w:ind w:left="210" w:leftChars="100" w:firstLine="210" w:firstLineChars="100"/>
        <w:jc w:val="left"/>
        <w:textAlignment w:val="auto"/>
        <w:rPr>
          <w:color w:val="auto"/>
          <w:szCs w:val="21"/>
          <w:highlight w:val="none"/>
        </w:rPr>
      </w:pPr>
      <w:r>
        <w:rPr>
          <w:color w:val="auto"/>
          <w:szCs w:val="21"/>
          <w:highlight w:val="none"/>
        </w:rPr>
        <w:t>式中：</w:t>
      </w:r>
    </w:p>
    <w:p w14:paraId="171D0B02">
      <w:pPr>
        <w:keepNext w:val="0"/>
        <w:keepLines w:val="0"/>
        <w:pageBreakBefore w:val="0"/>
        <w:widowControl w:val="0"/>
        <w:kinsoku/>
        <w:wordWrap/>
        <w:overflowPunct/>
        <w:topLinePunct w:val="0"/>
        <w:autoSpaceDE w:val="0"/>
        <w:autoSpaceDN w:val="0"/>
        <w:bidi w:val="0"/>
        <w:adjustRightInd w:val="0"/>
        <w:snapToGrid w:val="0"/>
        <w:spacing w:line="240" w:lineRule="auto"/>
        <w:ind w:left="210" w:leftChars="100" w:firstLine="210" w:firstLineChars="100"/>
        <w:jc w:val="left"/>
        <w:textAlignment w:val="auto"/>
        <w:rPr>
          <w:rFonts w:hint="eastAsia"/>
          <w:color w:val="auto"/>
          <w:szCs w:val="21"/>
          <w:highlight w:val="none"/>
        </w:rPr>
      </w:pPr>
      <w:r>
        <w:rPr>
          <w:rFonts w:hint="eastAsia"/>
          <w:i/>
          <w:iCs/>
          <w:color w:val="auto"/>
          <w:szCs w:val="21"/>
          <w:highlight w:val="none"/>
          <w:lang w:val="en-US" w:eastAsia="zh-CN"/>
        </w:rPr>
        <w:t>a</w:t>
      </w:r>
      <w:r>
        <w:rPr>
          <w:color w:val="auto"/>
          <w:szCs w:val="21"/>
          <w:highlight w:val="none"/>
        </w:rPr>
        <w:t>——防止高速渗水挟沙入管，造成淤堵，在暗管两侧地面上留出一条无水层防护带的宽度，m</w:t>
      </w:r>
      <w:r>
        <w:rPr>
          <w:rFonts w:hint="eastAsia"/>
          <w:color w:val="auto"/>
          <w:szCs w:val="21"/>
          <w:highlight w:val="none"/>
        </w:rPr>
        <w:t>；</w:t>
      </w:r>
    </w:p>
    <w:p w14:paraId="36D1EA4C">
      <w:pPr>
        <w:keepNext w:val="0"/>
        <w:keepLines w:val="0"/>
        <w:pageBreakBefore w:val="0"/>
        <w:widowControl w:val="0"/>
        <w:kinsoku/>
        <w:wordWrap/>
        <w:overflowPunct/>
        <w:topLinePunct w:val="0"/>
        <w:autoSpaceDE w:val="0"/>
        <w:autoSpaceDN w:val="0"/>
        <w:bidi w:val="0"/>
        <w:adjustRightInd w:val="0"/>
        <w:snapToGrid w:val="0"/>
        <w:spacing w:line="240" w:lineRule="auto"/>
        <w:ind w:firstLine="420" w:firstLineChars="200"/>
        <w:jc w:val="left"/>
        <w:textAlignment w:val="auto"/>
        <w:rPr>
          <w:color w:val="auto"/>
          <w:szCs w:val="21"/>
          <w:highlight w:val="none"/>
        </w:rPr>
      </w:pPr>
      <w:r>
        <w:rPr>
          <w:color w:val="auto"/>
          <w:szCs w:val="21"/>
          <w:highlight w:val="none"/>
        </w:rPr>
        <w:t>F——均匀入渗补给强度，m/d。</w:t>
      </w:r>
    </w:p>
    <w:p w14:paraId="2C6EC042">
      <w:pPr>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color w:val="auto"/>
          <w:szCs w:val="21"/>
          <w:highlight w:val="none"/>
        </w:rPr>
      </w:pPr>
      <w:r>
        <w:rPr>
          <w:rFonts w:hint="eastAsia" w:ascii="宋体" w:hAnsi="宋体" w:eastAsia="宋体" w:cs="宋体"/>
          <w:b/>
          <w:bCs/>
          <w:color w:val="auto"/>
          <w:kern w:val="21"/>
          <w:szCs w:val="22"/>
          <w:highlight w:val="none"/>
          <w:lang w:val="en-US" w:eastAsia="zh-CN"/>
        </w:rPr>
        <w:t>G</w:t>
      </w:r>
      <w:r>
        <w:rPr>
          <w:rFonts w:hint="eastAsia" w:ascii="宋体" w:hAnsi="宋体" w:eastAsia="宋体" w:cs="宋体"/>
          <w:b/>
          <w:bCs/>
          <w:color w:val="auto"/>
          <w:kern w:val="21"/>
          <w:szCs w:val="22"/>
          <w:highlight w:val="none"/>
        </w:rPr>
        <w:t>.4</w:t>
      </w:r>
      <w:r>
        <w:rPr>
          <w:rFonts w:ascii="黑体" w:eastAsia="黑体"/>
          <w:b/>
          <w:bCs/>
          <w:color w:val="auto"/>
          <w:kern w:val="21"/>
          <w:szCs w:val="22"/>
          <w:highlight w:val="none"/>
        </w:rPr>
        <w:t xml:space="preserve"> </w:t>
      </w:r>
      <w:r>
        <w:rPr>
          <w:color w:val="auto"/>
          <w:szCs w:val="21"/>
          <w:highlight w:val="none"/>
        </w:rPr>
        <w:t>稳定渗流条件下，有旱田灌溉或降雨产生的均匀入渗补给时，田间排水</w:t>
      </w:r>
      <w:r>
        <w:rPr>
          <w:rFonts w:hint="eastAsia"/>
          <w:color w:val="auto"/>
          <w:szCs w:val="21"/>
          <w:highlight w:val="none"/>
        </w:rPr>
        <w:t>暗</w:t>
      </w:r>
      <w:r>
        <w:rPr>
          <w:color w:val="auto"/>
          <w:szCs w:val="21"/>
          <w:highlight w:val="none"/>
        </w:rPr>
        <w:t>管间距按下式计算：</w:t>
      </w:r>
    </w:p>
    <w:p w14:paraId="079E05A7">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28"/>
          <w:highlight w:val="none"/>
        </w:rPr>
        <w:object>
          <v:shape id="_x0000_i1050" o:spt="75" type="#_x0000_t75" style="height:33pt;width:45pt;" o:ole="t" filled="f" o:preferrelative="t" stroked="f" coordsize="21600,21600">
            <v:path/>
            <v:fill on="f" focussize="0,0"/>
            <v:stroke on="f"/>
            <v:imagedata r:id="rId64" o:title=""/>
            <o:lock v:ext="edit" aspectratio="t"/>
            <w10:wrap type="none"/>
            <w10:anchorlock/>
          </v:shape>
          <o:OLEObject Type="Embed" ProgID="Equation.KSEE3" ShapeID="_x0000_i1050" DrawAspect="Content" ObjectID="_1468075750" r:id="rId63">
            <o:LockedField>false</o:LockedField>
          </o:OLEObject>
        </w:object>
      </w:r>
      <w:r>
        <w:rPr>
          <w:rFonts w:ascii="Times New Roman"/>
          <w:color w:val="auto"/>
          <w:highlight w:val="none"/>
        </w:rPr>
        <w:t xml:space="preserve"> </w:t>
      </w:r>
      <w:r>
        <w:rPr>
          <w:rFonts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.4-1</w:t>
      </w:r>
      <w:r>
        <w:rPr>
          <w:rFonts w:ascii="Times New Roman"/>
          <w:color w:val="auto"/>
          <w:highlight w:val="none"/>
          <w:lang w:eastAsia="zh-CN"/>
        </w:rPr>
        <w:t>）</w:t>
      </w:r>
    </w:p>
    <w:p w14:paraId="2772D178">
      <w:pPr>
        <w:keepNext w:val="0"/>
        <w:keepLines w:val="0"/>
        <w:pageBreakBefore w:val="0"/>
        <w:kinsoku/>
        <w:wordWrap/>
        <w:overflowPunct/>
        <w:topLinePunct w:val="0"/>
        <w:autoSpaceDE w:val="0"/>
        <w:autoSpaceDN w:val="0"/>
        <w:bidi w:val="0"/>
        <w:adjustRightInd w:val="0"/>
        <w:snapToGrid w:val="0"/>
        <w:spacing w:line="240" w:lineRule="auto"/>
        <w:ind w:firstLine="420" w:firstLineChars="200"/>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式中：</w:t>
      </w:r>
    </w:p>
    <w:p w14:paraId="5202C8E5">
      <w:pPr>
        <w:keepNext w:val="0"/>
        <w:keepLines w:val="0"/>
        <w:pageBreakBefore w:val="0"/>
        <w:kinsoku/>
        <w:wordWrap/>
        <w:overflowPunct/>
        <w:topLinePunct w:val="0"/>
        <w:autoSpaceDE w:val="0"/>
        <w:autoSpaceDN w:val="0"/>
        <w:bidi w:val="0"/>
        <w:adjustRightInd w:val="0"/>
        <w:snapToGrid w:val="0"/>
        <w:spacing w:line="240" w:lineRule="auto"/>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 xml:space="preserve">  </w:t>
      </w:r>
      <w:r>
        <w:rPr>
          <w:rFonts w:hint="default" w:ascii="Times New Roman" w:hAnsi="Times New Roman" w:eastAsia="宋体" w:cs="Times New Roman"/>
          <w:color w:val="auto"/>
          <w:szCs w:val="21"/>
          <w:highlight w:val="none"/>
          <w:lang w:val="en-US" w:eastAsia="zh-CN"/>
        </w:rPr>
        <w:t xml:space="preserve"> </w:t>
      </w:r>
      <w:r>
        <w:rPr>
          <w:rFonts w:hint="default" w:ascii="Times New Roman" w:hAnsi="Times New Roman" w:eastAsia="宋体" w:cs="Times New Roman"/>
          <w:i/>
          <w:iCs/>
          <w:color w:val="auto"/>
          <w:szCs w:val="21"/>
          <w:highlight w:val="none"/>
        </w:rPr>
        <w:t>Φ</w:t>
      </w:r>
      <w:r>
        <w:rPr>
          <w:rFonts w:hint="default" w:ascii="Times New Roman" w:hAnsi="Times New Roman" w:eastAsia="宋体" w:cs="Times New Roman"/>
          <w:color w:val="auto"/>
          <w:szCs w:val="21"/>
          <w:highlight w:val="none"/>
        </w:rPr>
        <w:t>——排水地段的渗流阻抗系数， 视下列情况选用计算公式：</w:t>
      </w:r>
    </w:p>
    <w:p w14:paraId="0D1CB8CE">
      <w:pPr>
        <w:pStyle w:val="108"/>
        <w:keepNext w:val="0"/>
        <w:keepLines w:val="0"/>
        <w:pageBreakBefore w:val="0"/>
        <w:kinsoku/>
        <w:wordWrap/>
        <w:overflowPunct/>
        <w:topLinePunct w:val="0"/>
        <w:autoSpaceDE w:val="0"/>
        <w:autoSpaceDN w:val="0"/>
        <w:bidi w:val="0"/>
        <w:spacing w:line="240" w:lineRule="auto"/>
        <w:jc w:val="left"/>
        <w:textAlignment w:val="auto"/>
        <w:rPr>
          <w:rFonts w:ascii="Times New Roman"/>
          <w:color w:val="auto"/>
          <w:highlight w:val="none"/>
          <w:lang w:eastAsia="zh-CN"/>
        </w:rPr>
      </w:pPr>
      <w:r>
        <w:rPr>
          <w:rFonts w:hint="default" w:ascii="Times New Roman" w:hAnsi="Times New Roman" w:eastAsia="宋体" w:cs="Times New Roman"/>
          <w:color w:val="auto"/>
          <w:szCs w:val="21"/>
          <w:highlight w:val="none"/>
        </w:rPr>
        <w:t xml:space="preserve">对于 </w:t>
      </w:r>
      <w:r>
        <w:rPr>
          <w:rFonts w:hint="default" w:ascii="Times New Roman" w:hAnsi="Times New Roman" w:eastAsia="宋体" w:cs="Times New Roman"/>
          <w:i/>
          <w:iCs/>
          <w:color w:val="auto"/>
          <w:szCs w:val="21"/>
          <w:highlight w:val="none"/>
        </w:rPr>
        <w:t>B</w:t>
      </w:r>
      <w:r>
        <w:rPr>
          <w:rFonts w:hint="default" w:ascii="Times New Roman" w:hAnsi="Times New Roman" w:eastAsia="宋体" w:cs="Times New Roman"/>
          <w:color w:val="auto"/>
          <w:szCs w:val="21"/>
          <w:highlight w:val="none"/>
        </w:rPr>
        <w:t>≥2</w:t>
      </w:r>
      <w:r>
        <w:rPr>
          <w:rFonts w:hint="default" w:ascii="Times New Roman" w:hAnsi="Times New Roman" w:eastAsia="宋体" w:cs="Times New Roman"/>
          <w:i/>
          <w:iCs/>
          <w:color w:val="auto"/>
          <w:szCs w:val="21"/>
          <w:highlight w:val="none"/>
        </w:rPr>
        <w:t>D</w:t>
      </w:r>
      <w:r>
        <w:rPr>
          <w:rFonts w:hint="default" w:ascii="Times New Roman" w:hAnsi="Times New Roman" w:eastAsia="宋体" w:cs="Times New Roman"/>
          <w:color w:val="auto"/>
          <w:szCs w:val="21"/>
          <w:highlight w:val="none"/>
        </w:rPr>
        <w:t>的条件，</w:t>
      </w:r>
    </w:p>
    <w:p w14:paraId="04717028">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28"/>
          <w:highlight w:val="none"/>
        </w:rPr>
        <w:object>
          <v:shape id="_x0000_i1051" o:spt="75" type="#_x0000_t75" style="height:33pt;width:107pt;" o:ole="t" filled="f" o:preferrelative="t" stroked="f" coordsize="21600,21600">
            <v:path/>
            <v:fill on="f" focussize="0,0"/>
            <v:stroke on="f"/>
            <v:imagedata r:id="rId66" o:title=""/>
            <o:lock v:ext="edit" aspectratio="t"/>
            <w10:wrap type="none"/>
            <w10:anchorlock/>
          </v:shape>
          <o:OLEObject Type="Embed" ProgID="Equation.KSEE3" ShapeID="_x0000_i1051" DrawAspect="Content" ObjectID="_1468075751" r:id="rId65">
            <o:LockedField>false</o:LockedField>
          </o:OLEObject>
        </w:object>
      </w:r>
      <w:r>
        <w:rPr>
          <w:rFonts w:ascii="Times New Roman"/>
          <w:color w:val="auto"/>
          <w:highlight w:val="none"/>
        </w:rPr>
        <w:t xml:space="preserve"> </w:t>
      </w:r>
      <w:r>
        <w:rPr>
          <w:rFonts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.4-</w:t>
      </w:r>
      <w:r>
        <w:rPr>
          <w:rFonts w:hint="eastAsia" w:ascii="宋体" w:hAnsi="宋体" w:eastAsia="宋体" w:cs="宋体"/>
          <w:color w:val="auto"/>
          <w:highlight w:val="none"/>
          <w:lang w:val="en-US" w:eastAsia="zh-CN"/>
        </w:rPr>
        <w:t>2</w:t>
      </w:r>
      <w:r>
        <w:rPr>
          <w:rFonts w:ascii="Times New Roman"/>
          <w:color w:val="auto"/>
          <w:highlight w:val="none"/>
          <w:lang w:eastAsia="zh-CN"/>
        </w:rPr>
        <w:t>）</w:t>
      </w:r>
    </w:p>
    <w:p w14:paraId="1327B894">
      <w:pPr>
        <w:pStyle w:val="108"/>
        <w:keepNext w:val="0"/>
        <w:keepLines w:val="0"/>
        <w:pageBreakBefore w:val="0"/>
        <w:widowControl/>
        <w:kinsoku/>
        <w:wordWrap/>
        <w:overflowPunct/>
        <w:topLinePunct w:val="0"/>
        <w:autoSpaceDE w:val="0"/>
        <w:autoSpaceDN w:val="0"/>
        <w:bidi w:val="0"/>
        <w:adjustRightInd/>
        <w:snapToGrid/>
        <w:jc w:val="left"/>
        <w:textAlignment w:val="auto"/>
        <w:rPr>
          <w:rFonts w:ascii="Times New Roman"/>
          <w:color w:val="auto"/>
          <w:highlight w:val="none"/>
          <w:lang w:eastAsia="zh-CN"/>
        </w:rPr>
      </w:pPr>
      <w:r>
        <w:rPr>
          <w:rFonts w:ascii="Times New Roman"/>
          <w:color w:val="auto"/>
          <w:szCs w:val="21"/>
          <w:highlight w:val="none"/>
        </w:rPr>
        <w:t>对于</w:t>
      </w:r>
      <w:r>
        <w:rPr>
          <w:rFonts w:ascii="Times New Roman"/>
          <w:i/>
          <w:iCs/>
          <w:color w:val="auto"/>
          <w:szCs w:val="21"/>
          <w:highlight w:val="none"/>
        </w:rPr>
        <w:t>B</w:t>
      </w:r>
      <w:r>
        <w:rPr>
          <w:rFonts w:ascii="Times New Roman"/>
          <w:color w:val="auto"/>
          <w:szCs w:val="21"/>
          <w:highlight w:val="none"/>
        </w:rPr>
        <w:t>≤2</w:t>
      </w:r>
      <w:r>
        <w:rPr>
          <w:rFonts w:ascii="Times New Roman"/>
          <w:i/>
          <w:iCs/>
          <w:color w:val="auto"/>
          <w:szCs w:val="21"/>
          <w:highlight w:val="none"/>
        </w:rPr>
        <w:t>D</w:t>
      </w:r>
      <w:r>
        <w:rPr>
          <w:rFonts w:ascii="Times New Roman"/>
          <w:color w:val="auto"/>
          <w:szCs w:val="21"/>
          <w:highlight w:val="none"/>
        </w:rPr>
        <w:t>的条件，</w:t>
      </w:r>
    </w:p>
    <w:p w14:paraId="18CDA450">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highlight w:val="none"/>
          <w:lang w:val="en-US" w:eastAsia="zh-CN"/>
        </w:rPr>
        <w:object>
          <v:shape id="_x0000_i1052" o:spt="75" type="#_x0000_t75" style="height:33pt;width:80pt;" o:ole="t" filled="f" o:preferrelative="t" stroked="f" coordsize="21600,21600">
            <v:path/>
            <v:fill on="f" focussize="0,0"/>
            <v:stroke on="f"/>
            <v:imagedata r:id="rId68" o:title=""/>
            <o:lock v:ext="edit" aspectratio="t"/>
            <w10:wrap type="none"/>
            <w10:anchorlock/>
          </v:shape>
          <o:OLEObject Type="Embed" ProgID="Equation.KSEE3" ShapeID="_x0000_i1052" DrawAspect="Content" ObjectID="_1468075752" r:id="rId67">
            <o:LockedField>false</o:LockedField>
          </o:OLEObject>
        </w:object>
      </w:r>
      <w:r>
        <w:rPr>
          <w:rFonts w:ascii="Times New Roman"/>
          <w:color w:val="auto"/>
          <w:highlight w:val="none"/>
          <w:lang w:val="en-US" w:eastAsia="zh-CN"/>
        </w:rPr>
        <w:t xml:space="preserve">                                （</w:t>
      </w:r>
      <w:r>
        <w:rPr>
          <w:rFonts w:hint="eastAsia" w:ascii="宋体" w:hAnsi="宋体" w:eastAsia="宋体" w:cs="宋体"/>
          <w:color w:val="auto"/>
          <w:highlight w:val="none"/>
          <w:lang w:val="en-US" w:eastAsia="zh-CN"/>
        </w:rPr>
        <w:t>G.4-3</w:t>
      </w:r>
      <w:r>
        <w:rPr>
          <w:rFonts w:ascii="Times New Roman"/>
          <w:color w:val="auto"/>
          <w:highlight w:val="none"/>
          <w:lang w:val="en-US" w:eastAsia="zh-CN"/>
        </w:rPr>
        <w:t>）</w:t>
      </w:r>
    </w:p>
    <w:p w14:paraId="4FC66568">
      <w:pPr>
        <w:keepNext w:val="0"/>
        <w:keepLines w:val="0"/>
        <w:pageBreakBefore w:val="0"/>
        <w:kinsoku/>
        <w:wordWrap/>
        <w:overflowPunct/>
        <w:topLinePunct w:val="0"/>
        <w:autoSpaceDE w:val="0"/>
        <w:autoSpaceDN w:val="0"/>
        <w:bidi w:val="0"/>
        <w:adjustRightInd w:val="0"/>
        <w:snapToGrid w:val="0"/>
        <w:spacing w:line="240" w:lineRule="auto"/>
        <w:ind w:firstLine="420" w:firstLineChars="200"/>
        <w:jc w:val="left"/>
        <w:textAlignment w:val="auto"/>
        <w:rPr>
          <w:color w:val="auto"/>
          <w:szCs w:val="21"/>
          <w:highlight w:val="none"/>
        </w:rPr>
      </w:pPr>
      <w:r>
        <w:rPr>
          <w:color w:val="auto"/>
          <w:szCs w:val="21"/>
          <w:highlight w:val="none"/>
        </w:rPr>
        <w:t>式中：</w:t>
      </w:r>
    </w:p>
    <w:p w14:paraId="259BF7A1">
      <w:pPr>
        <w:keepNext w:val="0"/>
        <w:keepLines w:val="0"/>
        <w:pageBreakBefore w:val="0"/>
        <w:kinsoku/>
        <w:wordWrap/>
        <w:overflowPunct/>
        <w:topLinePunct w:val="0"/>
        <w:autoSpaceDE w:val="0"/>
        <w:autoSpaceDN w:val="0"/>
        <w:bidi w:val="0"/>
        <w:adjustRightInd w:val="0"/>
        <w:snapToGrid w:val="0"/>
        <w:spacing w:line="240" w:lineRule="auto"/>
        <w:ind w:firstLine="420" w:firstLineChars="200"/>
        <w:jc w:val="left"/>
        <w:textAlignment w:val="auto"/>
        <w:rPr>
          <w:rFonts w:hint="eastAsia"/>
          <w:color w:val="auto"/>
          <w:szCs w:val="21"/>
          <w:highlight w:val="none"/>
        </w:rPr>
      </w:pPr>
      <w:r>
        <w:rPr>
          <w:rFonts w:hint="eastAsia"/>
          <w:i/>
          <w:iCs/>
          <w:color w:val="auto"/>
          <w:szCs w:val="21"/>
          <w:highlight w:val="none"/>
        </w:rPr>
        <w:t>D</w:t>
      </w:r>
      <w:r>
        <w:rPr>
          <w:color w:val="auto"/>
          <w:szCs w:val="21"/>
          <w:highlight w:val="none"/>
        </w:rPr>
        <w:t>——暗管中心至不透水层表面的垂直距离，m</w:t>
      </w:r>
      <w:r>
        <w:rPr>
          <w:rFonts w:hint="eastAsia"/>
          <w:color w:val="auto"/>
          <w:szCs w:val="21"/>
          <w:highlight w:val="none"/>
        </w:rPr>
        <w:t>；</w:t>
      </w:r>
    </w:p>
    <w:p w14:paraId="46CC8FB5">
      <w:pPr>
        <w:keepNext w:val="0"/>
        <w:keepLines w:val="0"/>
        <w:pageBreakBefore w:val="0"/>
        <w:kinsoku/>
        <w:wordWrap/>
        <w:overflowPunct/>
        <w:topLinePunct w:val="0"/>
        <w:autoSpaceDE w:val="0"/>
        <w:autoSpaceDN w:val="0"/>
        <w:bidi w:val="0"/>
        <w:adjustRightInd w:val="0"/>
        <w:snapToGrid w:val="0"/>
        <w:spacing w:line="240" w:lineRule="auto"/>
        <w:ind w:firstLine="420" w:firstLineChars="200"/>
        <w:jc w:val="left"/>
        <w:textAlignment w:val="auto"/>
        <w:rPr>
          <w:color w:val="auto"/>
          <w:szCs w:val="21"/>
          <w:highlight w:val="none"/>
        </w:rPr>
      </w:pPr>
      <w:r>
        <w:rPr>
          <w:rFonts w:hint="eastAsia"/>
          <w:color w:val="auto"/>
          <w:szCs w:val="21"/>
          <w:highlight w:val="none"/>
        </w:rPr>
        <w:t>其余符号意义同前</w:t>
      </w:r>
      <w:r>
        <w:rPr>
          <w:color w:val="auto"/>
          <w:szCs w:val="21"/>
          <w:highlight w:val="none"/>
        </w:rPr>
        <w:t>。</w:t>
      </w:r>
    </w:p>
    <w:p w14:paraId="16FF77A1">
      <w:pPr>
        <w:keepNext w:val="0"/>
        <w:keepLines w:val="0"/>
        <w:pageBreakBefore w:val="0"/>
        <w:kinsoku/>
        <w:wordWrap/>
        <w:overflowPunct/>
        <w:topLinePunct w:val="0"/>
        <w:autoSpaceDE w:val="0"/>
        <w:autoSpaceDN w:val="0"/>
        <w:bidi w:val="0"/>
        <w:adjustRightInd w:val="0"/>
        <w:snapToGrid w:val="0"/>
        <w:spacing w:line="240" w:lineRule="auto"/>
        <w:jc w:val="left"/>
        <w:textAlignment w:val="auto"/>
        <w:rPr>
          <w:rFonts w:hint="eastAsia" w:ascii="宋体" w:hAnsi="宋体" w:eastAsia="宋体" w:cs="宋体"/>
          <w:color w:val="auto"/>
          <w:szCs w:val="21"/>
          <w:highlight w:val="none"/>
        </w:rPr>
      </w:pPr>
      <w:r>
        <w:rPr>
          <w:rFonts w:hint="eastAsia" w:ascii="宋体" w:hAnsi="宋体" w:eastAsia="宋体" w:cs="宋体"/>
          <w:b/>
          <w:bCs/>
          <w:color w:val="auto"/>
          <w:kern w:val="21"/>
          <w:szCs w:val="22"/>
          <w:highlight w:val="none"/>
          <w:lang w:val="en-US" w:eastAsia="zh-CN"/>
        </w:rPr>
        <w:t>G</w:t>
      </w:r>
      <w:r>
        <w:rPr>
          <w:rFonts w:hint="eastAsia" w:ascii="宋体" w:hAnsi="宋体" w:eastAsia="宋体" w:cs="宋体"/>
          <w:b/>
          <w:bCs/>
          <w:color w:val="auto"/>
          <w:kern w:val="21"/>
          <w:szCs w:val="22"/>
          <w:highlight w:val="none"/>
        </w:rPr>
        <w:t>.5</w:t>
      </w:r>
      <w:r>
        <w:rPr>
          <w:b/>
          <w:bCs/>
          <w:color w:val="auto"/>
          <w:szCs w:val="21"/>
          <w:highlight w:val="none"/>
        </w:rPr>
        <w:t xml:space="preserve"> </w:t>
      </w:r>
      <w:r>
        <w:rPr>
          <w:rFonts w:hint="eastAsia" w:ascii="宋体" w:hAnsi="宋体" w:eastAsia="宋体" w:cs="宋体"/>
          <w:color w:val="auto"/>
          <w:szCs w:val="21"/>
          <w:highlight w:val="none"/>
        </w:rPr>
        <w:t>非稳定流条件下，不考虑地下水蒸发影响时，田间排水暗管间距按式（</w:t>
      </w:r>
      <w:r>
        <w:rPr>
          <w:rFonts w:hint="eastAsia" w:ascii="宋体" w:hAnsi="宋体" w:eastAsia="宋体" w:cs="宋体"/>
          <w:color w:val="auto"/>
          <w:szCs w:val="21"/>
          <w:highlight w:val="none"/>
          <w:lang w:val="en-US" w:eastAsia="zh-CN"/>
        </w:rPr>
        <w:t>G</w:t>
      </w:r>
      <w:r>
        <w:rPr>
          <w:rFonts w:hint="eastAsia" w:ascii="宋体" w:hAnsi="宋体" w:eastAsia="宋体" w:cs="宋体"/>
          <w:color w:val="auto"/>
          <w:szCs w:val="21"/>
          <w:highlight w:val="none"/>
        </w:rPr>
        <w:t>.5-1）或式（</w:t>
      </w:r>
      <w:r>
        <w:rPr>
          <w:rFonts w:hint="eastAsia" w:ascii="宋体" w:hAnsi="宋体" w:eastAsia="宋体" w:cs="宋体"/>
          <w:color w:val="auto"/>
          <w:szCs w:val="21"/>
          <w:highlight w:val="none"/>
          <w:lang w:val="en-US" w:eastAsia="zh-CN"/>
        </w:rPr>
        <w:t>G</w:t>
      </w:r>
      <w:r>
        <w:rPr>
          <w:rFonts w:hint="eastAsia" w:ascii="宋体" w:hAnsi="宋体" w:eastAsia="宋体" w:cs="宋体"/>
          <w:color w:val="auto"/>
          <w:szCs w:val="21"/>
          <w:highlight w:val="none"/>
        </w:rPr>
        <w:t>.5-3）计算。</w:t>
      </w:r>
    </w:p>
    <w:p w14:paraId="29C1BB31">
      <w:pPr>
        <w:pStyle w:val="85"/>
        <w:keepNext w:val="0"/>
        <w:keepLines w:val="0"/>
        <w:pageBreakBefore w:val="0"/>
        <w:numPr>
          <w:ilvl w:val="0"/>
          <w:numId w:val="0"/>
        </w:numPr>
        <w:tabs>
          <w:tab w:val="clear" w:pos="845"/>
        </w:tabs>
        <w:kinsoku/>
        <w:wordWrap/>
        <w:overflowPunct/>
        <w:topLinePunct w:val="0"/>
        <w:bidi w:val="0"/>
        <w:spacing w:line="240" w:lineRule="auto"/>
        <w:ind w:left="426" w:leftChars="0"/>
        <w:textAlignment w:val="auto"/>
        <w:rPr>
          <w:rFonts w:hint="eastAsia" w:ascii="宋体" w:hAnsi="宋体" w:eastAsia="宋体" w:cs="宋体"/>
          <w:color w:val="auto"/>
          <w:highlight w:val="none"/>
        </w:rPr>
      </w:pPr>
      <w:r>
        <w:rPr>
          <w:rFonts w:hint="eastAsia" w:hAnsi="宋体" w:eastAsia="宋体" w:cs="宋体"/>
          <w:color w:val="auto"/>
          <w:highlight w:val="none"/>
          <w:lang w:eastAsia="zh-CN"/>
        </w:rPr>
        <w:t>（</w:t>
      </w:r>
      <w:r>
        <w:rPr>
          <w:rFonts w:hint="eastAsia" w:hAnsi="宋体" w:eastAsia="宋体" w:cs="宋体"/>
          <w:color w:val="auto"/>
          <w:highlight w:val="none"/>
          <w:lang w:val="en-US" w:eastAsia="zh-CN"/>
        </w:rPr>
        <w:t>1</w:t>
      </w:r>
      <w:r>
        <w:rPr>
          <w:rFonts w:hint="eastAsia" w:hAnsi="宋体" w:eastAsia="宋体" w:cs="宋体"/>
          <w:color w:val="auto"/>
          <w:highlight w:val="none"/>
          <w:lang w:eastAsia="zh-CN"/>
        </w:rPr>
        <w:t>）</w:t>
      </w:r>
      <w:r>
        <w:rPr>
          <w:rFonts w:hint="eastAsia" w:ascii="宋体" w:hAnsi="宋体" w:eastAsia="宋体" w:cs="宋体"/>
          <w:color w:val="auto"/>
          <w:highlight w:val="none"/>
        </w:rPr>
        <w:t>当起始地下水面线较平缓，接近4次方抛物曲线时可按式（</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.5-1）计算：</w:t>
      </w:r>
    </w:p>
    <w:p w14:paraId="22F8E0D1">
      <w:pPr>
        <w:pStyle w:val="108"/>
        <w:jc w:val="right"/>
        <w:rPr>
          <w:rFonts w:hint="eastAsia" w:ascii="宋体" w:hAnsi="宋体" w:eastAsia="宋体" w:cs="宋体"/>
          <w:color w:val="auto"/>
          <w:highlight w:val="none"/>
          <w:lang w:eastAsia="zh-CN"/>
        </w:rPr>
      </w:pPr>
      <w:r>
        <w:rPr>
          <w:rFonts w:ascii="Times New Roman"/>
          <w:color w:val="auto"/>
          <w:sz w:val="28"/>
          <w:szCs w:val="28"/>
          <w:highlight w:val="none"/>
        </w:rPr>
        <w:tab/>
      </w:r>
      <w:r>
        <w:rPr>
          <w:rFonts w:ascii="Times New Roman"/>
          <w:color w:val="auto"/>
          <w:sz w:val="28"/>
          <w:szCs w:val="28"/>
          <w:highlight w:val="none"/>
        </w:rPr>
        <w:t xml:space="preserve">  </w:t>
      </w:r>
      <w:r>
        <w:rPr>
          <w:rFonts w:ascii="Times New Roman"/>
          <w:color w:val="auto"/>
          <w:highlight w:val="none"/>
        </w:rPr>
        <w:t xml:space="preserve">        </w:t>
      </w:r>
      <w:r>
        <w:rPr>
          <w:rFonts w:ascii="Times New Roman"/>
          <w:color w:val="auto"/>
          <w:position w:val="-70"/>
          <w:highlight w:val="none"/>
        </w:rPr>
        <w:object>
          <v:shape id="_x0000_i1053" o:spt="75" type="#_x0000_t75" style="height:72.3pt;width:166.85pt;" o:ole="t" filled="f" o:preferrelative="t" stroked="f" coordsize="21600,21600">
            <v:path/>
            <v:fill on="f" focussize="0,0"/>
            <v:stroke on="f"/>
            <v:imagedata r:id="rId70" o:title=""/>
            <o:lock v:ext="edit" aspectratio="t"/>
            <w10:wrap type="none"/>
            <w10:anchorlock/>
          </v:shape>
          <o:OLEObject Type="Embed" ProgID="Equation.KSEE3" ShapeID="_x0000_i1053" DrawAspect="Content" ObjectID="_1468075753" r:id="rId69">
            <o:LockedField>false</o:LockedField>
          </o:OLEObject>
        </w:object>
      </w:r>
      <w:r>
        <w:rPr>
          <w:rFonts w:hint="eastAsia" w:ascii="Times New Roman"/>
          <w:color w:val="auto"/>
          <w:position w:val="-70"/>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.5-1</w:t>
      </w:r>
      <w:r>
        <w:rPr>
          <w:rFonts w:hint="eastAsia" w:ascii="宋体" w:hAnsi="宋体" w:eastAsia="宋体" w:cs="宋体"/>
          <w:color w:val="auto"/>
          <w:highlight w:val="none"/>
          <w:lang w:eastAsia="zh-CN"/>
        </w:rPr>
        <w:t>）</w:t>
      </w:r>
    </w:p>
    <w:p w14:paraId="4623802F">
      <w:pPr>
        <w:pStyle w:val="108"/>
        <w:jc w:val="right"/>
        <w:rPr>
          <w:rFonts w:hint="eastAsia" w:ascii="宋体" w:hAnsi="宋体" w:eastAsia="宋体" w:cs="宋体"/>
          <w:color w:val="auto"/>
          <w:highlight w:val="none"/>
          <w:lang w:eastAsia="zh-CN"/>
        </w:rPr>
      </w:pPr>
      <w:r>
        <w:rPr>
          <w:rFonts w:hint="eastAsia" w:ascii="宋体" w:hAnsi="宋体" w:eastAsia="宋体" w:cs="宋体"/>
          <w:color w:val="auto"/>
          <w:highlight w:val="none"/>
        </w:rPr>
        <w:t xml:space="preserve">   </w:t>
      </w:r>
      <w:r>
        <w:rPr>
          <w:rFonts w:hint="eastAsia" w:ascii="宋体" w:hAnsi="宋体" w:eastAsia="宋体" w:cs="宋体"/>
          <w:color w:val="auto"/>
          <w:position w:val="-12"/>
          <w:highlight w:val="none"/>
        </w:rPr>
        <w:object>
          <v:shape id="_x0000_i1054" o:spt="75" type="#_x0000_t75" style="height:22pt;width:106pt;" o:ole="t" filled="f" o:preferrelative="t" stroked="f" coordsize="21600,21600">
            <v:path/>
            <v:fill on="f" focussize="0,0"/>
            <v:stroke on="f"/>
            <v:imagedata r:id="rId72" o:title=""/>
            <o:lock v:ext="edit" aspectratio="t"/>
            <w10:wrap type="none"/>
            <w10:anchorlock/>
          </v:shape>
          <o:OLEObject Type="Embed" ProgID="Equation.KSEE3" ShapeID="_x0000_i1054" DrawAspect="Content" ObjectID="_1468075754" r:id="rId71">
            <o:LockedField>false</o:LockedField>
          </o:OLEObject>
        </w:object>
      </w:r>
      <w:r>
        <w:rPr>
          <w:rFonts w:hint="eastAsia" w:ascii="宋体" w:hAnsi="宋体" w:eastAsia="宋体" w:cs="宋体"/>
          <w:color w:val="auto"/>
          <w:highlight w:val="none"/>
        </w:rPr>
        <w:t xml:space="preserve">  </w:t>
      </w:r>
      <w:r>
        <w:rPr>
          <w:rFonts w:hint="eastAsia" w:ascii="宋体" w:hAnsi="宋体" w:eastAsia="宋体" w:cs="宋体"/>
          <w:color w:val="auto"/>
          <w:highlight w:val="none"/>
          <w:lang w:val="en-US" w:eastAsia="zh-CN"/>
        </w:rPr>
        <w:t xml:space="preserve">                        </w:t>
      </w: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.5-2</w:t>
      </w:r>
      <w:r>
        <w:rPr>
          <w:rFonts w:hint="eastAsia" w:ascii="宋体" w:hAnsi="宋体" w:eastAsia="宋体" w:cs="宋体"/>
          <w:color w:val="auto"/>
          <w:highlight w:val="none"/>
          <w:lang w:eastAsia="zh-CN"/>
        </w:rPr>
        <w:t>）</w:t>
      </w:r>
    </w:p>
    <w:p w14:paraId="2FE037E3">
      <w:pPr>
        <w:keepNext w:val="0"/>
        <w:keepLines w:val="0"/>
        <w:pageBreakBefore w:val="0"/>
        <w:kinsoku/>
        <w:wordWrap/>
        <w:overflowPunct/>
        <w:topLinePunct w:val="0"/>
        <w:bidi w:val="0"/>
        <w:snapToGrid w:val="0"/>
        <w:spacing w:line="240" w:lineRule="auto"/>
        <w:ind w:firstLine="420" w:firstLineChars="200"/>
        <w:jc w:val="left"/>
        <w:textAlignment w:val="auto"/>
        <w:rPr>
          <w:color w:val="auto"/>
          <w:szCs w:val="21"/>
          <w:highlight w:val="none"/>
        </w:rPr>
      </w:pPr>
      <w:r>
        <w:rPr>
          <w:color w:val="auto"/>
          <w:szCs w:val="21"/>
          <w:highlight w:val="none"/>
        </w:rPr>
        <w:t>式中：</w:t>
      </w:r>
    </w:p>
    <w:p w14:paraId="5DC78A79">
      <w:pPr>
        <w:keepNext w:val="0"/>
        <w:keepLines w:val="0"/>
        <w:pageBreakBefore w:val="0"/>
        <w:kinsoku/>
        <w:wordWrap/>
        <w:overflowPunct/>
        <w:topLinePunct w:val="0"/>
        <w:bidi w:val="0"/>
        <w:snapToGrid w:val="0"/>
        <w:spacing w:line="240" w:lineRule="auto"/>
        <w:ind w:firstLine="420" w:firstLineChars="200"/>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i/>
          <w:iCs/>
          <w:color w:val="auto"/>
          <w:szCs w:val="21"/>
          <w:highlight w:val="none"/>
        </w:rPr>
        <w:t>t</w:t>
      </w:r>
      <w:r>
        <w:rPr>
          <w:rFonts w:hint="default" w:ascii="Times New Roman" w:hAnsi="Times New Roman" w:eastAsia="宋体" w:cs="Times New Roman"/>
          <w:color w:val="auto"/>
          <w:szCs w:val="21"/>
          <w:highlight w:val="none"/>
        </w:rPr>
        <w:t>——地下水位降落过程的历时，d；</w:t>
      </w:r>
    </w:p>
    <w:p w14:paraId="605EFF58">
      <w:pPr>
        <w:keepNext w:val="0"/>
        <w:keepLines w:val="0"/>
        <w:pageBreakBefore w:val="0"/>
        <w:kinsoku/>
        <w:wordWrap/>
        <w:overflowPunct/>
        <w:topLinePunct w:val="0"/>
        <w:autoSpaceDE w:val="0"/>
        <w:autoSpaceDN w:val="0"/>
        <w:bidi w:val="0"/>
        <w:adjustRightInd w:val="0"/>
        <w:snapToGrid w:val="0"/>
        <w:spacing w:line="240" w:lineRule="auto"/>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 xml:space="preserve">   </w:t>
      </w:r>
      <w:r>
        <w:rPr>
          <w:rFonts w:hint="default" w:ascii="Times New Roman" w:hAnsi="Times New Roman" w:eastAsia="宋体" w:cs="Times New Roman"/>
          <w:i/>
          <w:iCs/>
          <w:color w:val="auto"/>
          <w:szCs w:val="21"/>
          <w:highlight w:val="none"/>
        </w:rPr>
        <w:t xml:space="preserve"> μ</w:t>
      </w:r>
      <w:r>
        <w:rPr>
          <w:rFonts w:hint="default" w:ascii="Times New Roman" w:hAnsi="Times New Roman" w:eastAsia="宋体" w:cs="Times New Roman"/>
          <w:color w:val="auto"/>
          <w:szCs w:val="21"/>
          <w:highlight w:val="none"/>
        </w:rPr>
        <w:t>——地下水位降落范围内含水层的平均给水度；</w:t>
      </w:r>
    </w:p>
    <w:p w14:paraId="4AC27550">
      <w:pPr>
        <w:keepNext w:val="0"/>
        <w:keepLines w:val="0"/>
        <w:pageBreakBefore w:val="0"/>
        <w:kinsoku/>
        <w:wordWrap/>
        <w:overflowPunct/>
        <w:topLinePunct w:val="0"/>
        <w:autoSpaceDE w:val="0"/>
        <w:autoSpaceDN w:val="0"/>
        <w:bidi w:val="0"/>
        <w:adjustRightInd w:val="0"/>
        <w:snapToGrid w:val="0"/>
        <w:spacing w:line="240" w:lineRule="auto"/>
        <w:ind w:left="613" w:leftChars="192" w:hanging="210" w:hangingChars="100"/>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i/>
          <w:iCs/>
          <w:color w:val="auto"/>
          <w:szCs w:val="21"/>
          <w:highlight w:val="none"/>
        </w:rPr>
        <w:t>H</w:t>
      </w:r>
      <w:r>
        <w:rPr>
          <w:rFonts w:hint="default" w:ascii="Times New Roman" w:hAnsi="Times New Roman" w:eastAsia="宋体" w:cs="Times New Roman"/>
          <w:i/>
          <w:iCs/>
          <w:color w:val="auto"/>
          <w:szCs w:val="21"/>
          <w:highlight w:val="none"/>
          <w:vertAlign w:val="subscript"/>
        </w:rPr>
        <w:t>0</w:t>
      </w:r>
      <w:r>
        <w:rPr>
          <w:rFonts w:hint="default" w:ascii="Times New Roman" w:hAnsi="Times New Roman" w:eastAsia="宋体" w:cs="Times New Roman"/>
          <w:i/>
          <w:iCs/>
          <w:color w:val="auto"/>
          <w:szCs w:val="21"/>
          <w:highlight w:val="none"/>
        </w:rPr>
        <w:t>、H</w:t>
      </w:r>
      <w:r>
        <w:rPr>
          <w:rFonts w:hint="default" w:ascii="Times New Roman" w:hAnsi="Times New Roman" w:eastAsia="宋体" w:cs="Times New Roman"/>
          <w:i/>
          <w:iCs/>
          <w:color w:val="auto"/>
          <w:szCs w:val="21"/>
          <w:highlight w:val="none"/>
          <w:vertAlign w:val="subscript"/>
        </w:rPr>
        <w:t>t</w:t>
      </w:r>
      <w:r>
        <w:rPr>
          <w:rFonts w:hint="default" w:ascii="Times New Roman" w:hAnsi="Times New Roman" w:eastAsia="宋体" w:cs="Times New Roman"/>
          <w:color w:val="auto"/>
          <w:szCs w:val="21"/>
          <w:highlight w:val="none"/>
        </w:rPr>
        <w:t>——</w:t>
      </w:r>
      <w:r>
        <w:rPr>
          <w:rFonts w:hint="default" w:ascii="Times New Roman" w:hAnsi="Times New Roman" w:eastAsia="宋体" w:cs="Times New Roman"/>
          <w:i/>
          <w:iCs/>
          <w:color w:val="auto"/>
          <w:szCs w:val="21"/>
          <w:highlight w:val="none"/>
        </w:rPr>
        <w:t>t</w:t>
      </w:r>
      <w:r>
        <w:rPr>
          <w:rFonts w:hint="default" w:ascii="Times New Roman" w:hAnsi="Times New Roman" w:eastAsia="宋体" w:cs="Times New Roman"/>
          <w:color w:val="auto"/>
          <w:szCs w:val="21"/>
          <w:highlight w:val="none"/>
        </w:rPr>
        <w:t>时段始、末排水地段中部地下水位至吸水管中心的距离，即作用水头</w:t>
      </w:r>
      <w:r>
        <w:rPr>
          <w:rFonts w:hint="eastAsia" w:ascii="Times New Roman" w:hAnsi="Times New Roman" w:eastAsia="宋体" w:cs="Times New Roman"/>
          <w:color w:val="auto"/>
          <w:szCs w:val="21"/>
          <w:highlight w:val="none"/>
          <w:lang w:eastAsia="zh-CN"/>
        </w:rPr>
        <w:t>，</w:t>
      </w:r>
      <w:r>
        <w:rPr>
          <w:rFonts w:hint="default" w:ascii="Times New Roman" w:hAnsi="Times New Roman" w:eastAsia="宋体" w:cs="Times New Roman"/>
          <w:color w:val="auto"/>
          <w:szCs w:val="21"/>
          <w:highlight w:val="none"/>
        </w:rPr>
        <w:t>m；</w:t>
      </w:r>
    </w:p>
    <w:p w14:paraId="45FA16E6">
      <w:pPr>
        <w:keepNext w:val="0"/>
        <w:keepLines w:val="0"/>
        <w:pageBreakBefore w:val="0"/>
        <w:kinsoku/>
        <w:wordWrap/>
        <w:overflowPunct/>
        <w:topLinePunct w:val="0"/>
        <w:autoSpaceDE w:val="0"/>
        <w:autoSpaceDN w:val="0"/>
        <w:bidi w:val="0"/>
        <w:adjustRightInd w:val="0"/>
        <w:snapToGrid w:val="0"/>
        <w:spacing w:line="240" w:lineRule="auto"/>
        <w:jc w:val="left"/>
        <w:textAlignment w:val="auto"/>
        <w:rPr>
          <w:color w:val="auto"/>
          <w:szCs w:val="21"/>
          <w:highlight w:val="none"/>
        </w:rPr>
      </w:pPr>
      <w:r>
        <w:rPr>
          <w:rFonts w:hint="default" w:ascii="Times New Roman" w:hAnsi="Times New Roman" w:eastAsia="宋体" w:cs="Times New Roman"/>
          <w:color w:val="auto"/>
          <w:szCs w:val="21"/>
          <w:highlight w:val="none"/>
        </w:rPr>
        <w:t xml:space="preserve">   </w:t>
      </w:r>
      <w:r>
        <w:rPr>
          <w:rFonts w:hint="default" w:ascii="Times New Roman" w:hAnsi="Times New Roman" w:eastAsia="宋体" w:cs="Times New Roman"/>
          <w:i/>
          <w:iCs/>
          <w:color w:val="auto"/>
          <w:szCs w:val="21"/>
          <w:highlight w:val="none"/>
        </w:rPr>
        <w:t>χ</w:t>
      </w:r>
      <w:r>
        <w:rPr>
          <w:rFonts w:hint="default" w:ascii="Times New Roman" w:hAnsi="Times New Roman" w:eastAsia="宋体" w:cs="Times New Roman"/>
          <w:i w:val="0"/>
          <w:iCs w:val="0"/>
          <w:color w:val="auto"/>
          <w:szCs w:val="21"/>
          <w:highlight w:val="none"/>
          <w:vertAlign w:val="subscript"/>
          <w:lang w:val="en-US" w:eastAsia="zh-CN"/>
        </w:rPr>
        <w:t>0</w:t>
      </w:r>
      <w:r>
        <w:rPr>
          <w:rFonts w:hint="default" w:ascii="Times New Roman" w:hAnsi="Times New Roman" w:eastAsia="宋体" w:cs="Times New Roman"/>
          <w:color w:val="auto"/>
          <w:szCs w:val="21"/>
          <w:highlight w:val="none"/>
        </w:rPr>
        <w:t>——过水断面的湿周，m。对于暗管，当管内充满水时，</w:t>
      </w:r>
      <w:r>
        <w:rPr>
          <w:rFonts w:hint="default" w:ascii="Times New Roman" w:hAnsi="Times New Roman" w:eastAsia="宋体" w:cs="Times New Roman"/>
          <w:i/>
          <w:iCs/>
          <w:color w:val="auto"/>
          <w:szCs w:val="21"/>
          <w:highlight w:val="none"/>
          <w:lang w:val="en-US" w:eastAsia="zh-CN"/>
        </w:rPr>
        <w:t>χ</w:t>
      </w:r>
      <w:r>
        <w:rPr>
          <w:rFonts w:hint="default" w:ascii="Times New Roman" w:hAnsi="Times New Roman" w:eastAsia="宋体" w:cs="Times New Roman"/>
          <w:i w:val="0"/>
          <w:iCs w:val="0"/>
          <w:color w:val="auto"/>
          <w:szCs w:val="21"/>
          <w:highlight w:val="none"/>
          <w:vertAlign w:val="subscript"/>
          <w:lang w:val="en-US" w:eastAsia="zh-CN"/>
        </w:rPr>
        <w:t>0</w:t>
      </w:r>
      <w:r>
        <w:rPr>
          <w:rFonts w:hint="default" w:ascii="Times New Roman" w:hAnsi="Times New Roman" w:eastAsia="宋体" w:cs="Times New Roman"/>
          <w:color w:val="auto"/>
          <w:szCs w:val="21"/>
          <w:highlight w:val="none"/>
        </w:rPr>
        <w:t xml:space="preserve">取管道断面的周长；管内未充满水时，则取半周长作为 </w:t>
      </w:r>
      <w:r>
        <w:rPr>
          <w:rFonts w:hint="default" w:ascii="Times New Roman" w:hAnsi="Times New Roman" w:eastAsia="宋体" w:cs="Times New Roman"/>
          <w:color w:val="auto"/>
          <w:szCs w:val="21"/>
          <w:highlight w:val="none"/>
          <w:lang w:val="en-US" w:eastAsia="zh-CN"/>
        </w:rPr>
        <w:t>χ</w:t>
      </w:r>
      <w:r>
        <w:rPr>
          <w:rFonts w:hint="default" w:ascii="Times New Roman" w:hAnsi="Times New Roman" w:eastAsia="宋体" w:cs="Times New Roman"/>
          <w:color w:val="auto"/>
          <w:szCs w:val="21"/>
          <w:highlight w:val="none"/>
          <w:vertAlign w:val="subscript"/>
          <w:lang w:val="en-US" w:eastAsia="zh-CN"/>
        </w:rPr>
        <w:t>0</w:t>
      </w:r>
      <w:r>
        <w:rPr>
          <w:rFonts w:hint="default" w:ascii="Times New Roman" w:hAnsi="Times New Roman" w:eastAsia="宋体" w:cs="Times New Roman"/>
          <w:color w:val="auto"/>
          <w:szCs w:val="21"/>
          <w:highlight w:val="none"/>
        </w:rPr>
        <w:t>的近似值。</w:t>
      </w:r>
    </w:p>
    <w:p w14:paraId="514F3D8A">
      <w:pPr>
        <w:pStyle w:val="85"/>
        <w:keepNext w:val="0"/>
        <w:keepLines w:val="0"/>
        <w:pageBreakBefore w:val="0"/>
        <w:numPr>
          <w:ilvl w:val="0"/>
          <w:numId w:val="0"/>
        </w:numPr>
        <w:tabs>
          <w:tab w:val="clear" w:pos="845"/>
        </w:tabs>
        <w:kinsoku/>
        <w:wordWrap/>
        <w:overflowPunct/>
        <w:topLinePunct w:val="0"/>
        <w:bidi w:val="0"/>
        <w:spacing w:line="240" w:lineRule="auto"/>
        <w:ind w:left="845" w:hanging="419"/>
        <w:textAlignment w:val="auto"/>
        <w:rPr>
          <w:rFonts w:ascii="Times New Roman"/>
          <w:color w:val="auto"/>
          <w:highlight w:val="none"/>
        </w:rPr>
      </w:pPr>
      <w:r>
        <w:rPr>
          <w:rFonts w:hint="eastAsia" w:ascii="Times New Roman"/>
          <w:color w:val="auto"/>
          <w:highlight w:val="none"/>
          <w:lang w:eastAsia="zh-CN"/>
        </w:rPr>
        <w:t>（</w:t>
      </w:r>
      <w:r>
        <w:rPr>
          <w:rFonts w:hint="eastAsia" w:ascii="Times New Roman"/>
          <w:color w:val="auto"/>
          <w:highlight w:val="none"/>
          <w:lang w:val="en-US" w:eastAsia="zh-CN"/>
        </w:rPr>
        <w:t>2</w:t>
      </w:r>
      <w:r>
        <w:rPr>
          <w:rFonts w:hint="eastAsia" w:ascii="Times New Roman"/>
          <w:color w:val="auto"/>
          <w:highlight w:val="none"/>
          <w:lang w:eastAsia="zh-CN"/>
        </w:rPr>
        <w:t>）</w:t>
      </w:r>
      <w:r>
        <w:rPr>
          <w:rFonts w:ascii="Times New Roman"/>
          <w:color w:val="auto"/>
          <w:highlight w:val="none"/>
        </w:rPr>
        <w:t>当起始地下水面线较弯曲，接近2次方椭圆曲线时可按（</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.5-3</w:t>
      </w:r>
      <w:r>
        <w:rPr>
          <w:rFonts w:ascii="Times New Roman"/>
          <w:color w:val="auto"/>
          <w:highlight w:val="none"/>
        </w:rPr>
        <w:t>）计算：</w:t>
      </w:r>
    </w:p>
    <w:p w14:paraId="780B70B6">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60"/>
          <w:highlight w:val="none"/>
        </w:rPr>
        <w:object>
          <v:shape id="_x0000_i1055" o:spt="75" type="#_x0000_t75" style="height:45.35pt;width:73.05pt;" o:ole="t" filled="f" o:preferrelative="t" stroked="f" coordsize="21600,21600">
            <v:path/>
            <v:fill on="f" focussize="0,0"/>
            <v:stroke on="f"/>
            <v:imagedata r:id="rId74" o:title=""/>
            <o:lock v:ext="edit" aspectratio="t"/>
            <w10:wrap type="none"/>
            <w10:anchorlock/>
          </v:shape>
          <o:OLEObject Type="Embed" ProgID="Equation.KSEE3" ShapeID="_x0000_i1055" DrawAspect="Content" ObjectID="_1468075755" r:id="rId73">
            <o:LockedField>false</o:LockedField>
          </o:OLEObject>
        </w:object>
      </w:r>
      <w:r>
        <w:rPr>
          <w:rFonts w:ascii="Times New Roman"/>
          <w:color w:val="auto"/>
          <w:highlight w:val="none"/>
        </w:rPr>
        <w:t xml:space="preserve">   </w:t>
      </w:r>
      <w:r>
        <w:rPr>
          <w:rFonts w:hint="eastAsia"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.5-3</w:t>
      </w:r>
      <w:r>
        <w:rPr>
          <w:rFonts w:ascii="Times New Roman"/>
          <w:color w:val="auto"/>
          <w:highlight w:val="none"/>
          <w:lang w:eastAsia="zh-CN"/>
        </w:rPr>
        <w:t>）</w:t>
      </w:r>
    </w:p>
    <w:p w14:paraId="299BD271">
      <w:pPr>
        <w:keepNext w:val="0"/>
        <w:keepLines w:val="0"/>
        <w:pageBreakBefore w:val="0"/>
        <w:widowControl w:val="0"/>
        <w:kinsoku/>
        <w:wordWrap/>
        <w:overflowPunct/>
        <w:topLinePunct w:val="0"/>
        <w:autoSpaceDE w:val="0"/>
        <w:autoSpaceDN w:val="0"/>
        <w:bidi w:val="0"/>
        <w:adjustRightInd w:val="0"/>
        <w:snapToGrid w:val="0"/>
        <w:spacing w:line="240" w:lineRule="auto"/>
        <w:ind w:firstLine="420" w:firstLineChars="200"/>
        <w:jc w:val="left"/>
        <w:textAlignment w:val="auto"/>
        <w:rPr>
          <w:color w:val="auto"/>
          <w:szCs w:val="21"/>
          <w:highlight w:val="none"/>
        </w:rPr>
      </w:pPr>
      <w:r>
        <w:rPr>
          <w:color w:val="auto"/>
          <w:szCs w:val="21"/>
          <w:highlight w:val="none"/>
        </w:rPr>
        <w:t>式中：</w:t>
      </w:r>
    </w:p>
    <w:p w14:paraId="02EB1E0D">
      <w:pPr>
        <w:keepNext w:val="0"/>
        <w:keepLines w:val="0"/>
        <w:pageBreakBefore w:val="0"/>
        <w:widowControl w:val="0"/>
        <w:kinsoku/>
        <w:wordWrap/>
        <w:overflowPunct/>
        <w:topLinePunct w:val="0"/>
        <w:autoSpaceDE w:val="0"/>
        <w:autoSpaceDN w:val="0"/>
        <w:bidi w:val="0"/>
        <w:adjustRightInd w:val="0"/>
        <w:snapToGrid w:val="0"/>
        <w:spacing w:line="240" w:lineRule="auto"/>
        <w:ind w:firstLine="420" w:firstLineChars="200"/>
        <w:jc w:val="left"/>
        <w:textAlignment w:val="auto"/>
        <w:rPr>
          <w:color w:val="auto"/>
          <w:szCs w:val="21"/>
          <w:highlight w:val="none"/>
        </w:rPr>
      </w:pPr>
      <w:r>
        <w:rPr>
          <w:rFonts w:hint="default" w:ascii="Times New Roman" w:hAnsi="Times New Roman" w:cs="Times New Roman"/>
          <w:i/>
          <w:iCs/>
          <w:color w:val="auto"/>
          <w:position w:val="-4"/>
          <w:szCs w:val="21"/>
          <w:highlight w:val="none"/>
        </w:rPr>
        <w:t>Ω</w:t>
      </w:r>
      <w:r>
        <w:rPr>
          <w:color w:val="auto"/>
          <w:szCs w:val="21"/>
          <w:highlight w:val="none"/>
        </w:rPr>
        <w:t>——排水地段内的地下水面线形状校正系数，对于暗管</w:t>
      </w:r>
      <w:r>
        <w:rPr>
          <w:rFonts w:hint="default" w:ascii="Times New Roman" w:hAnsi="Times New Roman" w:cs="Times New Roman"/>
          <w:i w:val="0"/>
          <w:iCs w:val="0"/>
          <w:color w:val="auto"/>
          <w:szCs w:val="21"/>
          <w:highlight w:val="none"/>
        </w:rPr>
        <w:t>Ω</w:t>
      </w:r>
      <w:r>
        <w:rPr>
          <w:rFonts w:hint="eastAsia"/>
          <w:color w:val="auto"/>
          <w:szCs w:val="21"/>
          <w:highlight w:val="none"/>
          <w:lang w:val="en-US" w:eastAsia="zh-CN"/>
        </w:rPr>
        <w:t>=0.8~0.9</w:t>
      </w:r>
      <w:r>
        <w:rPr>
          <w:color w:val="auto"/>
          <w:szCs w:val="21"/>
          <w:highlight w:val="none"/>
        </w:rPr>
        <w:t>；</w:t>
      </w:r>
    </w:p>
    <w:p w14:paraId="525E0E13">
      <w:pPr>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color w:val="auto"/>
          <w:szCs w:val="21"/>
          <w:highlight w:val="none"/>
        </w:rPr>
      </w:pPr>
      <w:r>
        <w:rPr>
          <w:color w:val="auto"/>
          <w:szCs w:val="21"/>
          <w:highlight w:val="none"/>
        </w:rPr>
        <w:t xml:space="preserve">    </w:t>
      </w:r>
      <w:r>
        <w:rPr>
          <w:rFonts w:hint="default" w:ascii="Times New Roman" w:hAnsi="Times New Roman" w:cs="Times New Roman"/>
          <w:i/>
          <w:iCs/>
          <w:color w:val="auto"/>
          <w:szCs w:val="21"/>
          <w:highlight w:val="none"/>
        </w:rPr>
        <w:t>Φ</w:t>
      </w:r>
      <w:r>
        <w:rPr>
          <w:color w:val="auto"/>
          <w:szCs w:val="21"/>
          <w:highlight w:val="none"/>
        </w:rPr>
        <w:t>——排水地段的渗流阻抗系数。对于暗管，当使用式（</w:t>
      </w:r>
      <w:r>
        <w:rPr>
          <w:rFonts w:hint="eastAsia" w:ascii="宋体" w:hAnsi="宋体" w:eastAsia="宋体" w:cs="宋体"/>
          <w:color w:val="auto"/>
          <w:szCs w:val="21"/>
          <w:highlight w:val="none"/>
          <w:lang w:val="en-US" w:eastAsia="zh-CN"/>
        </w:rPr>
        <w:t>G</w:t>
      </w:r>
      <w:r>
        <w:rPr>
          <w:rFonts w:hint="eastAsia" w:ascii="宋体" w:hAnsi="宋体" w:eastAsia="宋体" w:cs="宋体"/>
          <w:color w:val="auto"/>
          <w:szCs w:val="21"/>
          <w:highlight w:val="none"/>
        </w:rPr>
        <w:t>.4-2</w:t>
      </w:r>
      <w:r>
        <w:rPr>
          <w:color w:val="auto"/>
          <w:szCs w:val="21"/>
          <w:highlight w:val="none"/>
        </w:rPr>
        <w:t>）或式（</w:t>
      </w:r>
      <w:r>
        <w:rPr>
          <w:rFonts w:hint="eastAsia" w:ascii="宋体" w:hAnsi="宋体" w:eastAsia="宋体" w:cs="宋体"/>
          <w:color w:val="auto"/>
          <w:szCs w:val="21"/>
          <w:highlight w:val="none"/>
          <w:lang w:val="en-US" w:eastAsia="zh-CN"/>
        </w:rPr>
        <w:t>G</w:t>
      </w:r>
      <w:r>
        <w:rPr>
          <w:rFonts w:hint="eastAsia" w:ascii="宋体" w:hAnsi="宋体" w:eastAsia="宋体" w:cs="宋体"/>
          <w:color w:val="auto"/>
          <w:szCs w:val="21"/>
          <w:highlight w:val="none"/>
        </w:rPr>
        <w:t>.4-3</w:t>
      </w:r>
      <w:r>
        <w:rPr>
          <w:color w:val="auto"/>
          <w:szCs w:val="21"/>
          <w:highlight w:val="none"/>
        </w:rPr>
        <w:t>）计算</w:t>
      </w:r>
      <w:r>
        <w:rPr>
          <w:rFonts w:hint="default" w:ascii="Times New Roman" w:hAnsi="Times New Roman" w:cs="Times New Roman"/>
          <w:i/>
          <w:iCs/>
          <w:color w:val="auto"/>
          <w:szCs w:val="21"/>
          <w:highlight w:val="none"/>
        </w:rPr>
        <w:t>Φ</w:t>
      </w:r>
      <w:r>
        <w:rPr>
          <w:color w:val="auto"/>
          <w:szCs w:val="21"/>
          <w:highlight w:val="none"/>
        </w:rPr>
        <w:t>时，需要将式中的</w:t>
      </w:r>
      <w:r>
        <w:rPr>
          <w:rFonts w:hint="default" w:ascii="Times New Roman" w:hAnsi="Times New Roman" w:cs="Times New Roman"/>
          <w:i/>
          <w:iCs/>
          <w:color w:val="auto"/>
          <w:szCs w:val="21"/>
          <w:highlight w:val="none"/>
        </w:rPr>
        <w:t>√</w:t>
      </w:r>
      <w:r>
        <w:rPr>
          <w:rFonts w:hint="default" w:ascii="Times New Roman" w:hAnsi="Times New Roman" w:cs="Times New Roman"/>
          <w:i/>
          <w:iCs/>
          <w:color w:val="auto"/>
          <w:szCs w:val="21"/>
          <w:highlight w:val="none"/>
          <w:lang w:val="en-US" w:eastAsia="zh-CN"/>
        </w:rPr>
        <w:t>Hd</w:t>
      </w:r>
      <w:r>
        <w:rPr>
          <w:color w:val="auto"/>
          <w:szCs w:val="21"/>
          <w:highlight w:val="none"/>
        </w:rPr>
        <w:t>更换成</w:t>
      </w:r>
      <w:r>
        <w:rPr>
          <w:rFonts w:hint="default" w:ascii="Times New Roman" w:hAnsi="Times New Roman" w:cs="Times New Roman"/>
          <w:i/>
          <w:iCs/>
          <w:color w:val="auto"/>
          <w:szCs w:val="21"/>
          <w:highlight w:val="none"/>
        </w:rPr>
        <w:t>√</w:t>
      </w:r>
      <w:r>
        <w:rPr>
          <w:rFonts w:hint="default" w:ascii="Times New Roman" w:hAnsi="Times New Roman" w:cs="Times New Roman"/>
          <w:i/>
          <w:iCs/>
          <w:color w:val="auto"/>
          <w:position w:val="-4"/>
          <w:szCs w:val="21"/>
          <w:highlight w:val="none"/>
        </w:rPr>
        <w:t>Ω</w:t>
      </w:r>
      <w:r>
        <w:rPr>
          <w:rFonts w:hint="default" w:ascii="Times New Roman" w:hAnsi="Times New Roman" w:cs="Times New Roman"/>
          <w:i/>
          <w:iCs/>
          <w:color w:val="auto"/>
          <w:szCs w:val="21"/>
          <w:highlight w:val="none"/>
          <w:lang w:val="en-US" w:eastAsia="zh-CN"/>
        </w:rPr>
        <w:fldChar w:fldCharType="begin"/>
      </w:r>
      <w:r>
        <w:rPr>
          <w:rFonts w:hint="default" w:ascii="Times New Roman" w:hAnsi="Times New Roman" w:cs="Times New Roman"/>
          <w:i/>
          <w:iCs/>
          <w:color w:val="auto"/>
          <w:szCs w:val="21"/>
          <w:highlight w:val="none"/>
          <w:lang w:val="en-US" w:eastAsia="zh-CN"/>
        </w:rPr>
        <w:instrText xml:space="preserve"> EQ \* jc0 \* "Font:Times New Roman" \* hps10 \o \ad(\s \up 9(—),H)</w:instrText>
      </w:r>
      <w:r>
        <w:rPr>
          <w:rFonts w:hint="default" w:ascii="Times New Roman" w:hAnsi="Times New Roman" w:cs="Times New Roman"/>
          <w:i/>
          <w:iCs/>
          <w:color w:val="auto"/>
          <w:szCs w:val="21"/>
          <w:highlight w:val="none"/>
          <w:lang w:val="en-US" w:eastAsia="zh-CN"/>
        </w:rPr>
        <w:fldChar w:fldCharType="end"/>
      </w:r>
      <w:r>
        <w:rPr>
          <w:rFonts w:hint="default" w:ascii="Times New Roman" w:hAnsi="Times New Roman" w:cs="Times New Roman"/>
          <w:i/>
          <w:iCs/>
          <w:color w:val="auto"/>
          <w:szCs w:val="21"/>
          <w:highlight w:val="none"/>
          <w:lang w:val="en-US" w:eastAsia="zh-CN"/>
        </w:rPr>
        <w:t>d</w:t>
      </w:r>
      <w:r>
        <w:rPr>
          <w:color w:val="auto"/>
          <w:szCs w:val="21"/>
          <w:highlight w:val="none"/>
        </w:rPr>
        <w:t>其中</w:t>
      </w:r>
      <w:r>
        <w:rPr>
          <w:rFonts w:hint="eastAsia"/>
          <w:i/>
          <w:iCs/>
          <w:color w:val="auto"/>
          <w:szCs w:val="21"/>
          <w:highlight w:val="none"/>
          <w:lang w:val="en-US" w:eastAsia="zh-CN"/>
        </w:rPr>
        <w:fldChar w:fldCharType="begin"/>
      </w:r>
      <w:r>
        <w:rPr>
          <w:rFonts w:hint="eastAsia"/>
          <w:i/>
          <w:iCs/>
          <w:color w:val="auto"/>
          <w:szCs w:val="21"/>
          <w:highlight w:val="none"/>
          <w:lang w:val="en-US" w:eastAsia="zh-CN"/>
        </w:rPr>
        <w:instrText xml:space="preserve"> EQ \* jc0 \* "Font:Times New Roman" \* hps10 \o \ad(\s \up 9(—),H)</w:instrText>
      </w:r>
      <w:r>
        <w:rPr>
          <w:rFonts w:hint="eastAsia"/>
          <w:i/>
          <w:iCs/>
          <w:color w:val="auto"/>
          <w:szCs w:val="21"/>
          <w:highlight w:val="none"/>
          <w:lang w:val="en-US" w:eastAsia="zh-CN"/>
        </w:rPr>
        <w:fldChar w:fldCharType="end"/>
      </w:r>
      <w:r>
        <w:rPr>
          <w:color w:val="auto"/>
          <w:szCs w:val="21"/>
          <w:highlight w:val="none"/>
        </w:rPr>
        <w:t>为按水位降落过程平均的作用水头，m。</w:t>
      </w:r>
    </w:p>
    <w:p w14:paraId="5DE4F986">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30"/>
          <w:highlight w:val="none"/>
        </w:rPr>
        <w:object>
          <v:shape id="_x0000_i1056" o:spt="75" type="#_x0000_t75" style="height:31.2pt;width:97.25pt;" o:ole="t" filled="f" o:preferrelative="t" stroked="f" coordsize="21600,21600">
            <v:path/>
            <v:fill on="f" focussize="0,0"/>
            <v:stroke on="f"/>
            <v:imagedata r:id="rId76" o:title=""/>
            <o:lock v:ext="edit" aspectratio="t"/>
            <w10:wrap type="none"/>
            <w10:anchorlock/>
          </v:shape>
          <o:OLEObject Type="Embed" ProgID="Equation.KSEE3" ShapeID="_x0000_i1056" DrawAspect="Content" ObjectID="_1468075756" r:id="rId75">
            <o:LockedField>false</o:LockedField>
          </o:OLEObject>
        </w:object>
      </w:r>
      <w:r>
        <w:rPr>
          <w:rFonts w:ascii="Times New Roman"/>
          <w:color w:val="auto"/>
          <w:highlight w:val="none"/>
        </w:rPr>
        <w:t xml:space="preserve"> </w:t>
      </w:r>
      <w:r>
        <w:rPr>
          <w:rFonts w:hint="eastAsia"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.5-4</w:t>
      </w:r>
      <w:r>
        <w:rPr>
          <w:rFonts w:ascii="Times New Roman"/>
          <w:color w:val="auto"/>
          <w:highlight w:val="none"/>
          <w:lang w:eastAsia="zh-CN"/>
        </w:rPr>
        <w:t>）</w:t>
      </w:r>
    </w:p>
    <w:p w14:paraId="6E307BC5">
      <w:pPr>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color w:val="auto"/>
          <w:szCs w:val="21"/>
          <w:highlight w:val="none"/>
        </w:rPr>
      </w:pPr>
      <w:r>
        <w:rPr>
          <w:rFonts w:hint="eastAsia" w:ascii="宋体" w:hAnsi="宋体" w:eastAsia="宋体" w:cs="宋体"/>
          <w:b/>
          <w:bCs/>
          <w:color w:val="auto"/>
          <w:kern w:val="21"/>
          <w:szCs w:val="22"/>
          <w:highlight w:val="none"/>
          <w:lang w:val="en-US" w:eastAsia="zh-CN"/>
        </w:rPr>
        <w:t>G</w:t>
      </w:r>
      <w:r>
        <w:rPr>
          <w:rFonts w:hint="eastAsia" w:ascii="宋体" w:hAnsi="宋体" w:eastAsia="宋体" w:cs="宋体"/>
          <w:b/>
          <w:bCs/>
          <w:color w:val="auto"/>
          <w:kern w:val="21"/>
          <w:szCs w:val="22"/>
          <w:highlight w:val="none"/>
        </w:rPr>
        <w:t>.6</w:t>
      </w:r>
      <w:r>
        <w:rPr>
          <w:rFonts w:hint="eastAsia" w:ascii="黑体" w:eastAsia="黑体"/>
          <w:b/>
          <w:bCs/>
          <w:color w:val="auto"/>
          <w:kern w:val="21"/>
          <w:szCs w:val="22"/>
          <w:highlight w:val="none"/>
        </w:rPr>
        <w:t xml:space="preserve"> </w:t>
      </w:r>
      <w:r>
        <w:rPr>
          <w:color w:val="auto"/>
          <w:szCs w:val="21"/>
          <w:highlight w:val="none"/>
        </w:rPr>
        <w:t>非稳定流条件下，考虑地下水蒸发影响时，即当地下水面蒸发强度与地下水埋深呈n次方的负相关关系时，田间</w:t>
      </w:r>
      <w:r>
        <w:rPr>
          <w:rFonts w:hint="eastAsia"/>
          <w:color w:val="auto"/>
          <w:szCs w:val="21"/>
          <w:highlight w:val="none"/>
        </w:rPr>
        <w:t>暗</w:t>
      </w:r>
      <w:r>
        <w:rPr>
          <w:color w:val="auto"/>
          <w:szCs w:val="21"/>
          <w:highlight w:val="none"/>
        </w:rPr>
        <w:t>管间距可使用简化</w:t>
      </w:r>
      <w:r>
        <w:rPr>
          <w:rFonts w:hint="eastAsia" w:ascii="宋体" w:hAnsi="宋体" w:eastAsia="宋体" w:cs="宋体"/>
          <w:color w:val="auto"/>
          <w:szCs w:val="21"/>
          <w:highlight w:val="none"/>
        </w:rPr>
        <w:t>式（G.6-1）</w:t>
      </w:r>
      <w:r>
        <w:rPr>
          <w:color w:val="auto"/>
          <w:szCs w:val="21"/>
          <w:highlight w:val="none"/>
        </w:rPr>
        <w:t>计算间距：</w:t>
      </w:r>
    </w:p>
    <w:p w14:paraId="13BAF5DA">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30"/>
          <w:highlight w:val="none"/>
        </w:rPr>
        <w:object>
          <v:shape id="_x0000_i1057" o:spt="75" type="#_x0000_t75" style="height:31.2pt;width:55.95pt;" o:ole="t" filled="f" o:preferrelative="t" stroked="f" coordsize="21600,21600">
            <v:path/>
            <v:fill on="f" focussize="0,0"/>
            <v:stroke on="f"/>
            <v:imagedata r:id="rId78" o:title=""/>
            <o:lock v:ext="edit" aspectratio="t"/>
            <w10:wrap type="none"/>
            <w10:anchorlock/>
          </v:shape>
          <o:OLEObject Type="Embed" ProgID="Equation.KSEE3" ShapeID="_x0000_i1057" DrawAspect="Content" ObjectID="_1468075757" r:id="rId77">
            <o:LockedField>false</o:LockedField>
          </o:OLEObject>
        </w:object>
      </w:r>
      <w:r>
        <w:rPr>
          <w:rFonts w:ascii="Times New Roman"/>
          <w:color w:val="auto"/>
          <w:highlight w:val="none"/>
        </w:rPr>
        <w:t xml:space="preserve">  </w:t>
      </w:r>
      <w:r>
        <w:rPr>
          <w:rFonts w:hint="eastAsia"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.6-1</w:t>
      </w:r>
      <w:r>
        <w:rPr>
          <w:rFonts w:ascii="Times New Roman"/>
          <w:color w:val="auto"/>
          <w:highlight w:val="none"/>
          <w:lang w:eastAsia="zh-CN"/>
        </w:rPr>
        <w:t>）</w:t>
      </w:r>
    </w:p>
    <w:p w14:paraId="70902BE3">
      <w:pPr>
        <w:pStyle w:val="108"/>
        <w:jc w:val="right"/>
        <w:rPr>
          <w:rFonts w:ascii="Times New Roman"/>
          <w:color w:val="auto"/>
          <w:highlight w:val="none"/>
          <w:lang w:eastAsia="zh-CN"/>
        </w:rPr>
      </w:pPr>
      <w:r>
        <w:rPr>
          <w:rFonts w:ascii="Times New Roman"/>
          <w:color w:val="auto"/>
          <w:sz w:val="28"/>
          <w:szCs w:val="28"/>
          <w:highlight w:val="none"/>
        </w:rPr>
        <w:tab/>
      </w:r>
      <w:r>
        <w:rPr>
          <w:rFonts w:ascii="Times New Roman"/>
          <w:color w:val="auto"/>
          <w:sz w:val="28"/>
          <w:szCs w:val="28"/>
          <w:highlight w:val="none"/>
        </w:rPr>
        <w:t xml:space="preserve">              </w:t>
      </w:r>
      <w:r>
        <w:rPr>
          <w:rFonts w:ascii="Times New Roman"/>
          <w:color w:val="auto"/>
          <w:highlight w:val="none"/>
        </w:rPr>
        <w:t xml:space="preserve"> </w:t>
      </w:r>
      <w:r>
        <w:rPr>
          <w:rFonts w:ascii="Times New Roman"/>
          <w:color w:val="auto"/>
          <w:position w:val="-36"/>
          <w:highlight w:val="none"/>
        </w:rPr>
        <w:object>
          <v:shape id="_x0000_i1058" o:spt="75" type="#_x0000_t75" style="height:41.1pt;width:141pt;" o:ole="t" filled="f" o:preferrelative="t" stroked="f" coordsize="21600,21600">
            <v:path/>
            <v:fill on="f" focussize="0,0"/>
            <v:stroke on="f"/>
            <v:imagedata r:id="rId80" o:title=""/>
            <o:lock v:ext="edit" aspectratio="t"/>
            <w10:wrap type="none"/>
            <w10:anchorlock/>
          </v:shape>
          <o:OLEObject Type="Embed" ProgID="Equation.KSEE3" ShapeID="_x0000_i1058" DrawAspect="Content" ObjectID="_1468075758" r:id="rId79">
            <o:LockedField>false</o:LockedField>
          </o:OLEObject>
        </w:object>
      </w:r>
      <w:r>
        <w:rPr>
          <w:rFonts w:ascii="Times New Roman"/>
          <w:color w:val="auto"/>
          <w:highlight w:val="none"/>
        </w:rPr>
        <w:t xml:space="preserve">  </w:t>
      </w:r>
      <w:r>
        <w:rPr>
          <w:rFonts w:hint="eastAsia"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.6-</w:t>
      </w: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seq 附录公式  </w:instrText>
      </w:r>
      <w:r>
        <w:rPr>
          <w:rFonts w:hint="eastAsia" w:ascii="宋体" w:hAnsi="宋体" w:eastAsia="宋体" w:cs="宋体"/>
          <w:color w:val="auto"/>
          <w:highlight w:val="none"/>
        </w:rPr>
        <w:fldChar w:fldCharType="separate"/>
      </w:r>
      <w:r>
        <w:rPr>
          <w:rFonts w:hint="eastAsia" w:ascii="宋体" w:hAnsi="宋体" w:eastAsia="宋体" w:cs="宋体"/>
          <w:color w:val="auto"/>
          <w:highlight w:val="none"/>
        </w:rPr>
        <w:t>2</w:t>
      </w:r>
      <w:r>
        <w:rPr>
          <w:rFonts w:hint="eastAsia" w:ascii="宋体" w:hAnsi="宋体" w:eastAsia="宋体" w:cs="宋体"/>
          <w:color w:val="auto"/>
          <w:highlight w:val="none"/>
        </w:rPr>
        <w:fldChar w:fldCharType="end"/>
      </w:r>
      <w:r>
        <w:rPr>
          <w:rFonts w:ascii="Times New Roman"/>
          <w:color w:val="auto"/>
          <w:highlight w:val="none"/>
          <w:lang w:eastAsia="zh-CN"/>
        </w:rPr>
        <w:t>）</w:t>
      </w:r>
    </w:p>
    <w:p w14:paraId="39AFA35F">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jc w:val="left"/>
        <w:textAlignment w:val="auto"/>
        <w:rPr>
          <w:color w:val="auto"/>
          <w:szCs w:val="21"/>
          <w:highlight w:val="none"/>
        </w:rPr>
      </w:pPr>
      <w:r>
        <w:rPr>
          <w:color w:val="auto"/>
          <w:szCs w:val="21"/>
          <w:highlight w:val="none"/>
        </w:rPr>
        <w:t>适用条件：当</w:t>
      </w:r>
      <w:r>
        <w:rPr>
          <w:rFonts w:hint="default" w:ascii="Times New Roman" w:hAnsi="Times New Roman" w:cs="Times New Roman"/>
          <w:i/>
          <w:iCs/>
          <w:color w:val="auto"/>
          <w:szCs w:val="21"/>
          <w:highlight w:val="none"/>
          <w:lang w:val="en-US" w:eastAsia="zh-CN"/>
        </w:rPr>
        <w:t>t/t</w:t>
      </w:r>
      <w:r>
        <w:rPr>
          <w:rFonts w:hint="default" w:ascii="Times New Roman" w:hAnsi="Times New Roman" w:cs="Times New Roman"/>
          <w:i/>
          <w:iCs/>
          <w:color w:val="auto"/>
          <w:szCs w:val="21"/>
          <w:highlight w:val="none"/>
          <w:vertAlign w:val="subscript"/>
          <w:lang w:val="en-US" w:eastAsia="zh-CN"/>
        </w:rPr>
        <w:t>ε</w:t>
      </w:r>
      <w:r>
        <w:rPr>
          <w:rFonts w:hint="eastAsia"/>
          <w:color w:val="auto"/>
          <w:szCs w:val="21"/>
          <w:highlight w:val="none"/>
          <w:vertAlign w:val="baseline"/>
          <w:lang w:val="en-US" w:eastAsia="zh-CN"/>
        </w:rPr>
        <w:t>＜0.6</w:t>
      </w:r>
      <w:r>
        <w:rPr>
          <w:color w:val="auto"/>
          <w:szCs w:val="21"/>
          <w:highlight w:val="none"/>
        </w:rPr>
        <w:t>时，用简化式计算的理论相对误差不超过0.5%；当</w:t>
      </w:r>
      <w:r>
        <w:rPr>
          <w:rFonts w:hint="default" w:ascii="Times New Roman" w:hAnsi="Times New Roman" w:cs="Times New Roman"/>
          <w:b w:val="0"/>
          <w:bCs w:val="0"/>
          <w:i/>
          <w:iCs/>
          <w:color w:val="auto"/>
          <w:szCs w:val="21"/>
          <w:highlight w:val="none"/>
          <w:lang w:val="en-US" w:eastAsia="zh-CN"/>
        </w:rPr>
        <w:t>t/t</w:t>
      </w:r>
      <w:r>
        <w:rPr>
          <w:rFonts w:hint="default" w:ascii="Times New Roman" w:hAnsi="Times New Roman" w:cs="Times New Roman"/>
          <w:b w:val="0"/>
          <w:bCs w:val="0"/>
          <w:i/>
          <w:iCs/>
          <w:color w:val="auto"/>
          <w:szCs w:val="21"/>
          <w:highlight w:val="none"/>
          <w:vertAlign w:val="subscript"/>
          <w:lang w:val="en-US" w:eastAsia="zh-CN"/>
        </w:rPr>
        <w:t>ε</w:t>
      </w:r>
      <w:r>
        <w:rPr>
          <w:rFonts w:hint="eastAsia"/>
          <w:color w:val="auto"/>
          <w:szCs w:val="21"/>
          <w:highlight w:val="none"/>
          <w:vertAlign w:val="baseline"/>
          <w:lang w:val="en-US" w:eastAsia="zh-CN"/>
        </w:rPr>
        <w:t>＜0.8</w:t>
      </w:r>
      <w:r>
        <w:rPr>
          <w:color w:val="auto"/>
          <w:szCs w:val="21"/>
          <w:highlight w:val="none"/>
        </w:rPr>
        <w:t>时，不超过10%。</w:t>
      </w:r>
    </w:p>
    <w:p w14:paraId="4F783A16">
      <w:pPr>
        <w:pStyle w:val="108"/>
        <w:jc w:val="right"/>
        <w:rPr>
          <w:rFonts w:ascii="Times New Roman"/>
          <w:color w:val="auto"/>
          <w:highlight w:val="none"/>
          <w:lang w:eastAsia="zh-CN"/>
        </w:rPr>
      </w:pPr>
      <w:r>
        <w:rPr>
          <w:rFonts w:ascii="Times New Roman"/>
          <w:color w:val="auto"/>
          <w:sz w:val="28"/>
          <w:szCs w:val="28"/>
          <w:highlight w:val="none"/>
        </w:rPr>
        <w:tab/>
      </w:r>
      <w:r>
        <w:rPr>
          <w:rFonts w:ascii="Times New Roman"/>
          <w:color w:val="auto"/>
          <w:sz w:val="28"/>
          <w:szCs w:val="28"/>
          <w:highlight w:val="none"/>
        </w:rPr>
        <w:t xml:space="preserve">        </w:t>
      </w:r>
      <w:r>
        <w:rPr>
          <w:rFonts w:ascii="Times New Roman"/>
          <w:color w:val="auto"/>
          <w:highlight w:val="none"/>
        </w:rPr>
        <w:t xml:space="preserve">     </w:t>
      </w:r>
      <w:r>
        <w:rPr>
          <w:rFonts w:ascii="Times New Roman"/>
          <w:color w:val="auto"/>
          <w:position w:val="-34"/>
          <w:highlight w:val="none"/>
        </w:rPr>
        <w:object>
          <v:shape id="_x0000_i1059" o:spt="75" type="#_x0000_t75" style="height:40.25pt;width:196.8pt;" o:ole="t" filled="f" o:preferrelative="t" stroked="f" coordsize="21600,21600">
            <v:path/>
            <v:fill on="f" focussize="0,0"/>
            <v:stroke on="f"/>
            <v:imagedata r:id="rId82" o:title=""/>
            <o:lock v:ext="edit" aspectratio="t"/>
            <w10:wrap type="none"/>
            <w10:anchorlock/>
          </v:shape>
          <o:OLEObject Type="Embed" ProgID="Equation.KSEE3" ShapeID="_x0000_i1059" DrawAspect="Content" ObjectID="_1468075759" r:id="rId81">
            <o:LockedField>false</o:LockedField>
          </o:OLEObject>
        </w:object>
      </w:r>
      <w:r>
        <w:rPr>
          <w:rFonts w:ascii="Times New Roman"/>
          <w:color w:val="auto"/>
          <w:highlight w:val="none"/>
        </w:rPr>
        <w:t xml:space="preserve">  </w:t>
      </w:r>
      <w:r>
        <w:rPr>
          <w:rFonts w:hint="eastAsia" w:ascii="Times New Roman"/>
          <w:color w:val="auto"/>
          <w:highlight w:val="none"/>
          <w:lang w:val="en-US" w:eastAsia="zh-CN"/>
        </w:rPr>
        <w:t xml:space="preserve">           </w:t>
      </w:r>
      <w:r>
        <w:rPr>
          <w:rFonts w:ascii="Times New Roman"/>
          <w:color w:val="auto"/>
          <w:highlight w:val="none"/>
          <w:lang w:eastAsia="zh-CN"/>
        </w:rPr>
        <w:t>（</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.6-</w:t>
      </w: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seq 附录公式  </w:instrText>
      </w:r>
      <w:r>
        <w:rPr>
          <w:rFonts w:hint="eastAsia" w:ascii="宋体" w:hAnsi="宋体" w:eastAsia="宋体" w:cs="宋体"/>
          <w:color w:val="auto"/>
          <w:highlight w:val="none"/>
        </w:rPr>
        <w:fldChar w:fldCharType="separate"/>
      </w:r>
      <w:r>
        <w:rPr>
          <w:rFonts w:hint="eastAsia" w:ascii="宋体" w:hAnsi="宋体" w:eastAsia="宋体" w:cs="宋体"/>
          <w:color w:val="auto"/>
          <w:highlight w:val="none"/>
        </w:rPr>
        <w:t>3</w:t>
      </w:r>
      <w:r>
        <w:rPr>
          <w:rFonts w:hint="eastAsia" w:ascii="宋体" w:hAnsi="宋体" w:eastAsia="宋体" w:cs="宋体"/>
          <w:color w:val="auto"/>
          <w:highlight w:val="none"/>
        </w:rPr>
        <w:fldChar w:fldCharType="end"/>
      </w:r>
      <w:r>
        <w:rPr>
          <w:rFonts w:ascii="Times New Roman"/>
          <w:color w:val="auto"/>
          <w:highlight w:val="none"/>
          <w:lang w:eastAsia="zh-CN"/>
        </w:rPr>
        <w:t>）</w:t>
      </w:r>
    </w:p>
    <w:p w14:paraId="181F05C0">
      <w:pPr>
        <w:keepNext w:val="0"/>
        <w:keepLines w:val="0"/>
        <w:pageBreakBefore w:val="0"/>
        <w:kinsoku/>
        <w:wordWrap/>
        <w:overflowPunct/>
        <w:topLinePunct w:val="0"/>
        <w:autoSpaceDE w:val="0"/>
        <w:autoSpaceDN w:val="0"/>
        <w:bidi w:val="0"/>
        <w:adjustRightInd w:val="0"/>
        <w:snapToGrid w:val="0"/>
        <w:spacing w:line="240" w:lineRule="auto"/>
        <w:ind w:firstLine="420" w:firstLineChars="200"/>
        <w:jc w:val="left"/>
        <w:textAlignment w:val="auto"/>
        <w:rPr>
          <w:color w:val="auto"/>
          <w:szCs w:val="21"/>
          <w:highlight w:val="none"/>
        </w:rPr>
      </w:pPr>
      <w:r>
        <w:rPr>
          <w:color w:val="auto"/>
          <w:szCs w:val="21"/>
          <w:highlight w:val="none"/>
        </w:rPr>
        <w:t>式中：</w:t>
      </w:r>
    </w:p>
    <w:p w14:paraId="58F48F02">
      <w:pPr>
        <w:keepNext w:val="0"/>
        <w:keepLines w:val="0"/>
        <w:pageBreakBefore w:val="0"/>
        <w:kinsoku/>
        <w:wordWrap/>
        <w:overflowPunct/>
        <w:topLinePunct w:val="0"/>
        <w:autoSpaceDE w:val="0"/>
        <w:autoSpaceDN w:val="0"/>
        <w:bidi w:val="0"/>
        <w:adjustRightInd w:val="0"/>
        <w:snapToGrid w:val="0"/>
        <w:spacing w:line="240" w:lineRule="auto"/>
        <w:ind w:firstLine="420" w:firstLineChars="200"/>
        <w:jc w:val="left"/>
        <w:textAlignment w:val="auto"/>
        <w:rPr>
          <w:color w:val="auto"/>
          <w:szCs w:val="21"/>
          <w:highlight w:val="none"/>
        </w:rPr>
      </w:pPr>
      <w:r>
        <w:rPr>
          <w:rFonts w:hint="default" w:ascii="Times New Roman" w:hAnsi="Times New Roman" w:cs="Times New Roman"/>
          <w:i/>
          <w:iCs/>
          <w:color w:val="auto"/>
          <w:szCs w:val="21"/>
          <w:highlight w:val="none"/>
        </w:rPr>
        <w:t>ε</w:t>
      </w:r>
      <w:r>
        <w:rPr>
          <w:rFonts w:hint="default" w:ascii="Times New Roman" w:hAnsi="Times New Roman" w:cs="Times New Roman"/>
          <w:i/>
          <w:iCs/>
          <w:color w:val="auto"/>
          <w:szCs w:val="21"/>
          <w:highlight w:val="none"/>
          <w:vertAlign w:val="subscript"/>
          <w:lang w:val="en-US" w:eastAsia="zh-CN"/>
        </w:rPr>
        <w:t>0</w:t>
      </w:r>
      <w:r>
        <w:rPr>
          <w:color w:val="auto"/>
          <w:szCs w:val="21"/>
          <w:highlight w:val="none"/>
        </w:rPr>
        <w:t>——地下水</w:t>
      </w:r>
      <w:r>
        <w:rPr>
          <w:rFonts w:hint="eastAsia"/>
          <w:color w:val="auto"/>
          <w:szCs w:val="21"/>
          <w:highlight w:val="none"/>
        </w:rPr>
        <w:t>埋</w:t>
      </w:r>
      <w:r>
        <w:rPr>
          <w:color w:val="auto"/>
          <w:szCs w:val="21"/>
          <w:highlight w:val="none"/>
        </w:rPr>
        <w:t>深为0时的蒸发强度m/d，可用水面蒸发强度近似替代；</w:t>
      </w:r>
    </w:p>
    <w:p w14:paraId="01E84AE0">
      <w:pPr>
        <w:keepNext w:val="0"/>
        <w:keepLines w:val="0"/>
        <w:pageBreakBefore w:val="0"/>
        <w:kinsoku/>
        <w:wordWrap/>
        <w:overflowPunct/>
        <w:topLinePunct w:val="0"/>
        <w:autoSpaceDE w:val="0"/>
        <w:autoSpaceDN w:val="0"/>
        <w:bidi w:val="0"/>
        <w:adjustRightInd w:val="0"/>
        <w:snapToGrid w:val="0"/>
        <w:spacing w:line="240" w:lineRule="auto"/>
        <w:ind w:firstLine="420" w:firstLineChars="200"/>
        <w:jc w:val="left"/>
        <w:textAlignment w:val="auto"/>
        <w:rPr>
          <w:color w:val="auto"/>
          <w:szCs w:val="21"/>
          <w:highlight w:val="none"/>
        </w:rPr>
      </w:pPr>
      <w:r>
        <w:rPr>
          <w:rFonts w:hint="eastAsia"/>
          <w:i/>
          <w:iCs/>
          <w:color w:val="auto"/>
          <w:szCs w:val="21"/>
          <w:highlight w:val="none"/>
          <w:lang w:val="en-US" w:eastAsia="zh-CN"/>
        </w:rPr>
        <w:t>h</w:t>
      </w:r>
      <w:r>
        <w:rPr>
          <w:rFonts w:hint="eastAsia"/>
          <w:color w:val="auto"/>
          <w:szCs w:val="21"/>
          <w:highlight w:val="none"/>
          <w:vertAlign w:val="subscript"/>
          <w:lang w:val="en-US" w:eastAsia="zh-CN"/>
        </w:rPr>
        <w:t>ε</w:t>
      </w:r>
      <w:r>
        <w:rPr>
          <w:color w:val="auto"/>
          <w:szCs w:val="21"/>
          <w:highlight w:val="none"/>
        </w:rPr>
        <w:t>——</w:t>
      </w:r>
      <w:r>
        <w:rPr>
          <w:rFonts w:hint="eastAsia"/>
          <w:color w:val="auto"/>
          <w:szCs w:val="21"/>
          <w:highlight w:val="none"/>
        </w:rPr>
        <w:t>蒸发</w:t>
      </w:r>
      <w:r>
        <w:rPr>
          <w:color w:val="auto"/>
          <w:szCs w:val="21"/>
          <w:highlight w:val="none"/>
        </w:rPr>
        <w:t>极微弱时的地下水</w:t>
      </w:r>
      <w:r>
        <w:rPr>
          <w:rFonts w:hint="eastAsia"/>
          <w:color w:val="auto"/>
          <w:szCs w:val="21"/>
          <w:highlight w:val="none"/>
        </w:rPr>
        <w:t>埋</w:t>
      </w:r>
      <w:r>
        <w:rPr>
          <w:color w:val="auto"/>
          <w:szCs w:val="21"/>
          <w:highlight w:val="none"/>
        </w:rPr>
        <w:t xml:space="preserve">深，m；                                         </w:t>
      </w:r>
    </w:p>
    <w:p w14:paraId="72A1E656">
      <w:pPr>
        <w:pStyle w:val="25"/>
        <w:keepNext w:val="0"/>
        <w:keepLines w:val="0"/>
        <w:pageBreakBefore w:val="0"/>
        <w:kinsoku/>
        <w:wordWrap/>
        <w:overflowPunct/>
        <w:topLinePunct w:val="0"/>
        <w:autoSpaceDE w:val="0"/>
        <w:autoSpaceDN w:val="0"/>
        <w:bidi w:val="0"/>
        <w:spacing w:line="240" w:lineRule="auto"/>
        <w:textAlignment w:val="auto"/>
        <w:rPr>
          <w:rFonts w:hint="default" w:ascii="Times New Roman" w:eastAsia="宋体"/>
          <w:color w:val="auto"/>
          <w:position w:val="-6"/>
          <w:szCs w:val="21"/>
          <w:highlight w:val="none"/>
          <w:lang w:val="en-US" w:eastAsia="zh-CN"/>
        </w:rPr>
      </w:pPr>
      <w:r>
        <w:rPr>
          <w:rFonts w:hint="eastAsia" w:ascii="Times New Roman"/>
          <w:i/>
          <w:iCs/>
          <w:color w:val="auto"/>
          <w:szCs w:val="21"/>
          <w:highlight w:val="none"/>
          <w:lang w:val="en-US" w:eastAsia="zh-CN"/>
        </w:rPr>
        <w:t>n</w:t>
      </w:r>
      <w:r>
        <w:rPr>
          <w:rFonts w:ascii="Times New Roman"/>
          <w:color w:val="auto"/>
          <w:szCs w:val="21"/>
          <w:highlight w:val="none"/>
        </w:rPr>
        <w:t>——地下水埋深与蒸发强度关系指数，宜为</w:t>
      </w:r>
      <w:r>
        <w:rPr>
          <w:rFonts w:hint="default" w:ascii="Times New Roman" w:hAnsi="Times New Roman" w:cs="Times New Roman"/>
          <w:color w:val="auto"/>
          <w:szCs w:val="21"/>
          <w:highlight w:val="none"/>
        </w:rPr>
        <w:t>1～3</w:t>
      </w:r>
      <w:r>
        <w:rPr>
          <w:rFonts w:ascii="Times New Roman"/>
          <w:color w:val="auto"/>
          <w:szCs w:val="21"/>
          <w:highlight w:val="none"/>
        </w:rPr>
        <w:t>，可取</w:t>
      </w:r>
      <w:r>
        <w:rPr>
          <w:rFonts w:hint="eastAsia" w:ascii="Times New Roman"/>
          <w:i/>
          <w:iCs/>
          <w:color w:val="auto"/>
          <w:szCs w:val="21"/>
          <w:highlight w:val="none"/>
          <w:lang w:val="en-US" w:eastAsia="zh-CN"/>
        </w:rPr>
        <w:t>n</w:t>
      </w:r>
      <w:r>
        <w:rPr>
          <w:rFonts w:hint="eastAsia" w:ascii="Times New Roman"/>
          <w:color w:val="auto"/>
          <w:szCs w:val="21"/>
          <w:highlight w:val="none"/>
          <w:lang w:val="en-US" w:eastAsia="zh-CN"/>
        </w:rPr>
        <w:t>=2。</w:t>
      </w:r>
    </w:p>
    <w:p w14:paraId="489CCBA2">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ascii="Times New Roman"/>
          <w:color w:val="auto"/>
          <w:kern w:val="2"/>
          <w:szCs w:val="21"/>
          <w:highlight w:val="none"/>
        </w:rPr>
      </w:pPr>
      <w:r>
        <w:rPr>
          <w:rFonts w:hint="eastAsia" w:ascii="宋体" w:hAnsi="宋体" w:eastAsia="宋体" w:cs="宋体"/>
          <w:b/>
          <w:bCs/>
          <w:color w:val="auto"/>
          <w:kern w:val="2"/>
          <w:szCs w:val="21"/>
          <w:highlight w:val="none"/>
          <w:lang w:val="en-US" w:eastAsia="zh-CN"/>
        </w:rPr>
        <w:t>G</w:t>
      </w:r>
      <w:r>
        <w:rPr>
          <w:rFonts w:hint="eastAsia" w:ascii="宋体" w:hAnsi="宋体" w:eastAsia="宋体" w:cs="宋体"/>
          <w:b/>
          <w:bCs/>
          <w:color w:val="auto"/>
          <w:kern w:val="2"/>
          <w:szCs w:val="21"/>
          <w:highlight w:val="none"/>
        </w:rPr>
        <w:t>.7</w:t>
      </w:r>
      <w:r>
        <w:rPr>
          <w:rFonts w:hint="eastAsia" w:ascii="Times New Roman"/>
          <w:b/>
          <w:bCs/>
          <w:color w:val="auto"/>
          <w:kern w:val="2"/>
          <w:szCs w:val="21"/>
          <w:highlight w:val="none"/>
        </w:rPr>
        <w:t xml:space="preserve"> </w:t>
      </w:r>
      <w:r>
        <w:rPr>
          <w:rFonts w:hint="eastAsia" w:ascii="Times New Roman"/>
          <w:color w:val="auto"/>
          <w:kern w:val="2"/>
          <w:szCs w:val="21"/>
          <w:highlight w:val="none"/>
        </w:rPr>
        <w:t>稳定流条件下的胡格浩特暗管排水间距计算公式</w:t>
      </w:r>
    </w:p>
    <w:p w14:paraId="574993E8">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eastAsia" w:ascii="Times New Roman"/>
          <w:color w:val="auto"/>
          <w:kern w:val="2"/>
          <w:szCs w:val="21"/>
          <w:highlight w:val="none"/>
        </w:rPr>
      </w:pPr>
      <w:r>
        <w:rPr>
          <w:rFonts w:hint="eastAsia" w:ascii="Times New Roman"/>
          <w:color w:val="auto"/>
          <w:kern w:val="2"/>
          <w:szCs w:val="21"/>
          <w:highlight w:val="none"/>
        </w:rPr>
        <w:t>考虑水平和辐向水流的稳定流条件下吸水暗管间距的胡格浩特简化计算公式：</w:t>
      </w:r>
    </w:p>
    <w:p w14:paraId="14B98F84">
      <w:pPr>
        <w:pStyle w:val="25"/>
        <w:jc w:val="right"/>
        <w:rPr>
          <w:color w:val="auto"/>
          <w:highlight w:val="none"/>
        </w:rPr>
      </w:pPr>
      <w:r>
        <w:rPr>
          <w:rFonts w:hint="eastAsia"/>
          <w:color w:val="auto"/>
          <w:highlight w:val="none"/>
        </w:rPr>
        <w:t xml:space="preserve">                        </w:t>
      </w:r>
      <w:r>
        <w:rPr>
          <w:color w:val="auto"/>
          <w:highlight w:val="none"/>
        </w:rPr>
        <w:drawing>
          <wp:inline distT="0" distB="0" distL="114300" distR="114300">
            <wp:extent cx="1209675" cy="403225"/>
            <wp:effectExtent l="0" t="0" r="0" b="8890"/>
            <wp:docPr id="8" name="图片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10"/>
                    <pic:cNvPicPr>
                      <a:picLocks noChangeAspect="1"/>
                    </pic:cNvPicPr>
                  </pic:nvPicPr>
                  <pic:blipFill>
                    <a:blip r:embed="rId83"/>
                    <a:stretch>
                      <a:fillRect/>
                    </a:stretch>
                  </pic:blipFill>
                  <pic:spPr>
                    <a:xfrm>
                      <a:off x="0" y="0"/>
                      <a:ext cx="1209675" cy="403225"/>
                    </a:xfrm>
                    <a:prstGeom prst="rect">
                      <a:avLst/>
                    </a:prstGeom>
                    <a:noFill/>
                    <a:ln>
                      <a:noFill/>
                    </a:ln>
                  </pic:spPr>
                </pic:pic>
              </a:graphicData>
            </a:graphic>
          </wp:inline>
        </w:drawing>
      </w:r>
      <w:r>
        <w:rPr>
          <w:rFonts w:hint="eastAsia"/>
          <w:color w:val="auto"/>
          <w:highlight w:val="none"/>
        </w:rPr>
        <w:t xml:space="preserve">                          （</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.7-1</w:t>
      </w:r>
      <w:r>
        <w:rPr>
          <w:rFonts w:hint="eastAsia"/>
          <w:color w:val="auto"/>
          <w:highlight w:val="none"/>
        </w:rPr>
        <w:t>）</w:t>
      </w:r>
    </w:p>
    <w:p w14:paraId="5E508D0A">
      <w:pPr>
        <w:pStyle w:val="25"/>
        <w:jc w:val="right"/>
        <w:rPr>
          <w:rFonts w:hint="eastAsia"/>
          <w:color w:val="auto"/>
          <w:highlight w:val="none"/>
        </w:rPr>
      </w:pPr>
      <w:r>
        <w:rPr>
          <w:rFonts w:hint="eastAsia"/>
          <w:color w:val="auto"/>
          <w:highlight w:val="none"/>
        </w:rPr>
        <w:t xml:space="preserve">                             </w:t>
      </w:r>
      <w:r>
        <w:rPr>
          <w:color w:val="auto"/>
          <w:highlight w:val="none"/>
        </w:rPr>
        <w:drawing>
          <wp:inline distT="0" distB="0" distL="114300" distR="114300">
            <wp:extent cx="590550" cy="390525"/>
            <wp:effectExtent l="0" t="0" r="6350" b="0"/>
            <wp:docPr id="9" name="图片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11"/>
                    <pic:cNvPicPr>
                      <a:picLocks noChangeAspect="1"/>
                    </pic:cNvPicPr>
                  </pic:nvPicPr>
                  <pic:blipFill>
                    <a:blip r:embed="rId84"/>
                    <a:stretch>
                      <a:fillRect/>
                    </a:stretch>
                  </pic:blipFill>
                  <pic:spPr>
                    <a:xfrm>
                      <a:off x="0" y="0"/>
                      <a:ext cx="590550" cy="390525"/>
                    </a:xfrm>
                    <a:prstGeom prst="rect">
                      <a:avLst/>
                    </a:prstGeom>
                    <a:noFill/>
                    <a:ln>
                      <a:noFill/>
                    </a:ln>
                  </pic:spPr>
                </pic:pic>
              </a:graphicData>
            </a:graphic>
          </wp:inline>
        </w:drawing>
      </w:r>
      <w:r>
        <w:rPr>
          <w:rFonts w:hint="eastAsia"/>
          <w:color w:val="auto"/>
          <w:highlight w:val="none"/>
        </w:rPr>
        <w:t xml:space="preserve">                                （</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.7-2</w:t>
      </w:r>
      <w:r>
        <w:rPr>
          <w:rFonts w:hint="eastAsia"/>
          <w:color w:val="auto"/>
          <w:highlight w:val="none"/>
        </w:rPr>
        <w:t xml:space="preserve">） </w:t>
      </w:r>
    </w:p>
    <w:p w14:paraId="22B6632C">
      <w:pPr>
        <w:pStyle w:val="25"/>
        <w:ind w:firstLine="0" w:firstLineChars="0"/>
        <w:jc w:val="right"/>
        <w:rPr>
          <w:rFonts w:hint="eastAsia" w:ascii="Times New Roman"/>
          <w:color w:val="auto"/>
          <w:kern w:val="2"/>
          <w:szCs w:val="21"/>
          <w:highlight w:val="none"/>
        </w:rPr>
      </w:pPr>
      <w:r>
        <w:rPr>
          <w:rFonts w:hint="eastAsia"/>
          <w:color w:val="auto"/>
          <w:highlight w:val="none"/>
        </w:rPr>
        <w:t xml:space="preserve">                                  </w:t>
      </w:r>
      <w:r>
        <w:rPr>
          <w:color w:val="auto"/>
          <w:highlight w:val="none"/>
        </w:rPr>
        <w:drawing>
          <wp:inline distT="0" distB="0" distL="114300" distR="114300">
            <wp:extent cx="476250" cy="409575"/>
            <wp:effectExtent l="0" t="0" r="0" b="9525"/>
            <wp:docPr id="10" name="图片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12"/>
                    <pic:cNvPicPr>
                      <a:picLocks noChangeAspect="1"/>
                    </pic:cNvPicPr>
                  </pic:nvPicPr>
                  <pic:blipFill>
                    <a:blip r:embed="rId85"/>
                    <a:stretch>
                      <a:fillRect/>
                    </a:stretch>
                  </pic:blipFill>
                  <pic:spPr>
                    <a:xfrm>
                      <a:off x="0" y="0"/>
                      <a:ext cx="476250" cy="409575"/>
                    </a:xfrm>
                    <a:prstGeom prst="rect">
                      <a:avLst/>
                    </a:prstGeom>
                    <a:noFill/>
                    <a:ln>
                      <a:noFill/>
                    </a:ln>
                  </pic:spPr>
                </pic:pic>
              </a:graphicData>
            </a:graphic>
          </wp:inline>
        </w:drawing>
      </w:r>
      <w:r>
        <w:rPr>
          <w:rFonts w:hint="eastAsia"/>
          <w:color w:val="auto"/>
          <w:highlight w:val="none"/>
        </w:rPr>
        <w:t xml:space="preserve">                                 （</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.7-3</w:t>
      </w:r>
      <w:r>
        <w:rPr>
          <w:rFonts w:hint="eastAsia"/>
          <w:color w:val="auto"/>
          <w:highlight w:val="none"/>
        </w:rPr>
        <w:t xml:space="preserve">） </w:t>
      </w:r>
    </w:p>
    <w:p w14:paraId="219CA031">
      <w:pPr>
        <w:pStyle w:val="25"/>
        <w:ind w:firstLine="0" w:firstLineChars="0"/>
        <w:jc w:val="right"/>
        <w:rPr>
          <w:rFonts w:hint="eastAsia" w:ascii="Times New Roman"/>
          <w:color w:val="auto"/>
          <w:kern w:val="2"/>
          <w:szCs w:val="21"/>
          <w:highlight w:val="none"/>
        </w:rPr>
      </w:pPr>
      <w:r>
        <w:rPr>
          <w:rFonts w:hint="eastAsia"/>
          <w:color w:val="auto"/>
          <w:highlight w:val="none"/>
        </w:rPr>
        <w:t xml:space="preserve">                           </w:t>
      </w:r>
      <w:r>
        <w:rPr>
          <w:color w:val="auto"/>
          <w:highlight w:val="none"/>
        </w:rPr>
        <w:drawing>
          <wp:inline distT="0" distB="0" distL="114300" distR="114300">
            <wp:extent cx="1634490" cy="439420"/>
            <wp:effectExtent l="0" t="0" r="11430" b="2540"/>
            <wp:docPr id="11" name="图片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13"/>
                    <pic:cNvPicPr>
                      <a:picLocks noChangeAspect="1"/>
                    </pic:cNvPicPr>
                  </pic:nvPicPr>
                  <pic:blipFill>
                    <a:blip r:embed="rId86"/>
                    <a:stretch>
                      <a:fillRect/>
                    </a:stretch>
                  </pic:blipFill>
                  <pic:spPr>
                    <a:xfrm>
                      <a:off x="0" y="0"/>
                      <a:ext cx="1634490" cy="439420"/>
                    </a:xfrm>
                    <a:prstGeom prst="rect">
                      <a:avLst/>
                    </a:prstGeom>
                    <a:noFill/>
                    <a:ln>
                      <a:noFill/>
                    </a:ln>
                  </pic:spPr>
                </pic:pic>
              </a:graphicData>
            </a:graphic>
          </wp:inline>
        </w:drawing>
      </w:r>
      <w:r>
        <w:rPr>
          <w:rFonts w:hint="eastAsia"/>
          <w:color w:val="auto"/>
          <w:highlight w:val="none"/>
        </w:rPr>
        <w:t xml:space="preserve">                   </w:t>
      </w:r>
      <w:r>
        <w:rPr>
          <w:rFonts w:hint="eastAsia"/>
          <w:color w:val="auto"/>
          <w:highlight w:val="none"/>
          <w:lang w:val="en-US" w:eastAsia="zh-CN"/>
        </w:rPr>
        <w:t xml:space="preserve">  </w:t>
      </w:r>
      <w:r>
        <w:rPr>
          <w:rFonts w:hint="eastAsia"/>
          <w:color w:val="auto"/>
          <w:highlight w:val="none"/>
        </w:rPr>
        <w:t xml:space="preserve">   （</w:t>
      </w:r>
      <w:r>
        <w:rPr>
          <w:rFonts w:hint="eastAsia" w:ascii="宋体" w:hAnsi="宋体" w:eastAsia="宋体" w:cs="宋体"/>
          <w:color w:val="auto"/>
          <w:highlight w:val="none"/>
          <w:lang w:val="en-US" w:eastAsia="zh-CN"/>
        </w:rPr>
        <w:t>G</w:t>
      </w:r>
      <w:r>
        <w:rPr>
          <w:rFonts w:hint="eastAsia" w:ascii="宋体" w:hAnsi="宋体" w:eastAsia="宋体" w:cs="宋体"/>
          <w:color w:val="auto"/>
          <w:highlight w:val="none"/>
        </w:rPr>
        <w:t>.7-1</w:t>
      </w:r>
      <w:r>
        <w:rPr>
          <w:rFonts w:hint="eastAsia"/>
          <w:color w:val="auto"/>
          <w:highlight w:val="none"/>
        </w:rPr>
        <w:t>）</w:t>
      </w:r>
    </w:p>
    <w:p w14:paraId="774067C9">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default" w:ascii="Times New Roman" w:hAnsi="Times New Roman" w:cs="Times New Roman"/>
          <w:color w:val="auto"/>
          <w:kern w:val="2"/>
          <w:szCs w:val="21"/>
          <w:highlight w:val="none"/>
        </w:rPr>
      </w:pPr>
      <w:r>
        <w:rPr>
          <w:rFonts w:hint="default" w:ascii="Times New Roman" w:hAnsi="Times New Roman" w:cs="Times New Roman"/>
          <w:color w:val="auto"/>
          <w:kern w:val="2"/>
          <w:szCs w:val="21"/>
          <w:highlight w:val="none"/>
        </w:rPr>
        <w:t>式中：</w:t>
      </w:r>
    </w:p>
    <w:p w14:paraId="0B8E9BB1">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default" w:ascii="Times New Roman" w:hAnsi="Times New Roman" w:cs="Times New Roman"/>
          <w:color w:val="auto"/>
          <w:kern w:val="2"/>
          <w:szCs w:val="21"/>
          <w:highlight w:val="none"/>
        </w:rPr>
      </w:pPr>
      <w:r>
        <w:rPr>
          <w:rFonts w:hint="default" w:ascii="Times New Roman" w:hAnsi="Times New Roman" w:cs="Times New Roman"/>
          <w:i/>
          <w:iCs/>
          <w:color w:val="auto"/>
          <w:kern w:val="2"/>
          <w:szCs w:val="21"/>
          <w:highlight w:val="none"/>
        </w:rPr>
        <w:t>K</w:t>
      </w:r>
      <w:r>
        <w:rPr>
          <w:rFonts w:hint="default" w:ascii="Times New Roman" w:hAnsi="Times New Roman" w:cs="Times New Roman"/>
          <w:i/>
          <w:iCs/>
          <w:color w:val="auto"/>
          <w:kern w:val="2"/>
          <w:szCs w:val="21"/>
          <w:highlight w:val="none"/>
          <w:vertAlign w:val="subscript"/>
        </w:rPr>
        <w:t>a</w:t>
      </w:r>
      <w:r>
        <w:rPr>
          <w:rFonts w:hint="default" w:ascii="Times New Roman" w:hAnsi="Times New Roman" w:cs="Times New Roman"/>
          <w:i/>
          <w:iCs/>
          <w:color w:val="auto"/>
          <w:kern w:val="2"/>
          <w:szCs w:val="21"/>
          <w:highlight w:val="none"/>
        </w:rPr>
        <w:t>、K</w:t>
      </w:r>
      <w:r>
        <w:rPr>
          <w:rFonts w:hint="default" w:ascii="Times New Roman" w:hAnsi="Times New Roman" w:cs="Times New Roman"/>
          <w:i/>
          <w:iCs/>
          <w:color w:val="auto"/>
          <w:kern w:val="2"/>
          <w:szCs w:val="21"/>
          <w:highlight w:val="none"/>
          <w:vertAlign w:val="subscript"/>
        </w:rPr>
        <w:t>b</w:t>
      </w:r>
      <w:r>
        <w:rPr>
          <w:rFonts w:hint="default" w:ascii="Times New Roman" w:hAnsi="Times New Roman" w:cs="Times New Roman"/>
          <w:color w:val="auto"/>
          <w:szCs w:val="21"/>
          <w:highlight w:val="none"/>
        </w:rPr>
        <w:t>——上下两层土壤的渗透系数，m/d；</w:t>
      </w:r>
    </w:p>
    <w:p w14:paraId="0BFB7998">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default" w:ascii="Times New Roman" w:hAnsi="Times New Roman" w:cs="Times New Roman"/>
          <w:color w:val="auto"/>
          <w:szCs w:val="21"/>
          <w:highlight w:val="none"/>
        </w:rPr>
      </w:pPr>
      <w:r>
        <w:rPr>
          <w:rFonts w:hint="default" w:ascii="Times New Roman" w:hAnsi="Times New Roman" w:cs="Times New Roman"/>
          <w:i w:val="0"/>
          <w:iCs w:val="0"/>
          <w:color w:val="auto"/>
          <w:kern w:val="2"/>
          <w:szCs w:val="21"/>
          <w:highlight w:val="none"/>
        </w:rPr>
        <w:t>h</w:t>
      </w:r>
      <w:r>
        <w:rPr>
          <w:rFonts w:hint="default" w:ascii="Times New Roman" w:hAnsi="Times New Roman" w:cs="Times New Roman"/>
          <w:color w:val="auto"/>
          <w:szCs w:val="21"/>
          <w:highlight w:val="none"/>
        </w:rPr>
        <w:t>——两排水暗管中心位置的滞留水头，m；一般取0.3~0.6m；</w:t>
      </w:r>
    </w:p>
    <w:p w14:paraId="5948A752">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default" w:ascii="Times New Roman" w:hAnsi="Times New Roman" w:cs="Times New Roman"/>
          <w:color w:val="auto"/>
          <w:szCs w:val="21"/>
          <w:highlight w:val="none"/>
        </w:rPr>
      </w:pPr>
      <w:r>
        <w:rPr>
          <w:rFonts w:hint="default" w:ascii="Times New Roman" w:hAnsi="Times New Roman" w:cs="Times New Roman"/>
          <w:i/>
          <w:iCs/>
          <w:color w:val="auto"/>
          <w:szCs w:val="21"/>
          <w:highlight w:val="none"/>
        </w:rPr>
        <w:t>d</w:t>
      </w:r>
      <w:r>
        <w:rPr>
          <w:rFonts w:hint="default" w:ascii="Times New Roman" w:hAnsi="Times New Roman" w:cs="Times New Roman"/>
          <w:color w:val="auto"/>
          <w:szCs w:val="21"/>
          <w:highlight w:val="none"/>
        </w:rPr>
        <w:t>——含水层的有效计算埋深，m；</w:t>
      </w:r>
    </w:p>
    <w:p w14:paraId="4ED555FB">
      <w:pPr>
        <w:pStyle w:val="25"/>
        <w:keepNext w:val="0"/>
        <w:keepLines w:val="0"/>
        <w:pageBreakBefore w:val="0"/>
        <w:widowControl/>
        <w:kinsoku/>
        <w:wordWrap/>
        <w:overflowPunct/>
        <w:topLinePunct w:val="0"/>
        <w:autoSpaceDE w:val="0"/>
        <w:autoSpaceDN w:val="0"/>
        <w:bidi w:val="0"/>
        <w:adjustRightInd/>
        <w:snapToGrid/>
        <w:spacing w:line="240" w:lineRule="auto"/>
        <w:ind w:firstLine="420" w:firstLineChars="200"/>
        <w:textAlignment w:val="auto"/>
        <w:rPr>
          <w:rFonts w:hint="default" w:ascii="Times New Roman" w:hAnsi="Times New Roman" w:cs="Times New Roman"/>
          <w:color w:val="auto"/>
          <w:szCs w:val="21"/>
          <w:highlight w:val="none"/>
        </w:rPr>
      </w:pPr>
      <w:r>
        <w:rPr>
          <w:rFonts w:hint="default" w:ascii="Times New Roman" w:hAnsi="Times New Roman" w:cs="Times New Roman"/>
          <w:i/>
          <w:iCs/>
          <w:color w:val="auto"/>
          <w:szCs w:val="21"/>
          <w:highlight w:val="none"/>
        </w:rPr>
        <w:t>φ</w:t>
      </w:r>
      <w:r>
        <w:rPr>
          <w:rFonts w:hint="default" w:ascii="Times New Roman" w:hAnsi="Times New Roman" w:cs="Times New Roman"/>
          <w:color w:val="auto"/>
          <w:szCs w:val="21"/>
          <w:highlight w:val="none"/>
        </w:rPr>
        <w:t>——渗流阻抗系数</w:t>
      </w:r>
    </w:p>
    <w:p w14:paraId="25F8935F">
      <w:pPr>
        <w:pStyle w:val="25"/>
        <w:keepNext w:val="0"/>
        <w:keepLines w:val="0"/>
        <w:pageBreakBefore w:val="0"/>
        <w:widowControl/>
        <w:kinsoku/>
        <w:wordWrap/>
        <w:overflowPunct/>
        <w:topLinePunct w:val="0"/>
        <w:autoSpaceDE w:val="0"/>
        <w:autoSpaceDN w:val="0"/>
        <w:bidi w:val="0"/>
        <w:adjustRightInd/>
        <w:snapToGrid/>
        <w:spacing w:line="240" w:lineRule="auto"/>
        <w:ind w:firstLine="420" w:firstLineChars="200"/>
        <w:textAlignment w:val="auto"/>
        <w:rPr>
          <w:rFonts w:hint="eastAsia" w:ascii="Times New Roman" w:hAnsi="Times New Roman" w:eastAsia="宋体" w:cs="Times New Roman"/>
          <w:color w:val="auto"/>
          <w:kern w:val="2"/>
          <w:szCs w:val="21"/>
          <w:highlight w:val="none"/>
          <w:lang w:eastAsia="zh-CN"/>
        </w:rPr>
      </w:pPr>
      <w:r>
        <w:rPr>
          <w:rFonts w:hint="default" w:ascii="Times New Roman" w:hAnsi="Times New Roman" w:cs="Times New Roman"/>
          <w:color w:val="auto"/>
          <w:szCs w:val="21"/>
          <w:highlight w:val="none"/>
          <w:lang w:val="en-US" w:eastAsia="zh-CN"/>
        </w:rPr>
        <w:t>r</w:t>
      </w:r>
      <w:r>
        <w:rPr>
          <w:rFonts w:hint="default" w:ascii="Times New Roman" w:hAnsi="Times New Roman" w:cs="Times New Roman"/>
          <w:color w:val="auto"/>
          <w:szCs w:val="21"/>
          <w:highlight w:val="none"/>
          <w:vertAlign w:val="subscript"/>
          <w:lang w:val="en-US" w:eastAsia="zh-CN"/>
        </w:rPr>
        <w:t>0</w:t>
      </w:r>
      <w:r>
        <w:rPr>
          <w:rFonts w:hint="default" w:ascii="Times New Roman" w:hAnsi="Times New Roman" w:cs="Times New Roman"/>
          <w:color w:val="auto"/>
          <w:szCs w:val="21"/>
          <w:highlight w:val="none"/>
        </w:rPr>
        <w:t>——排水暗管半径，m</w:t>
      </w:r>
      <w:r>
        <w:rPr>
          <w:rFonts w:hint="eastAsia" w:ascii="Times New Roman" w:hAnsi="Times New Roman" w:cs="Times New Roman"/>
          <w:color w:val="auto"/>
          <w:szCs w:val="21"/>
          <w:highlight w:val="none"/>
          <w:lang w:eastAsia="zh-CN"/>
        </w:rPr>
        <w:t>。</w:t>
      </w:r>
    </w:p>
    <w:p w14:paraId="061D8398">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hint="eastAsia" w:ascii="Times New Roman" w:eastAsia="宋体"/>
          <w:color w:val="auto"/>
          <w:kern w:val="2"/>
          <w:szCs w:val="21"/>
          <w:highlight w:val="none"/>
          <w:lang w:eastAsia="zh-CN"/>
        </w:rPr>
      </w:pPr>
      <w:r>
        <w:rPr>
          <w:rFonts w:hint="eastAsia" w:ascii="宋体" w:hAnsi="宋体" w:eastAsia="宋体" w:cs="宋体"/>
          <w:b/>
          <w:bCs/>
          <w:color w:val="auto"/>
          <w:kern w:val="2"/>
          <w:szCs w:val="21"/>
          <w:highlight w:val="none"/>
          <w:lang w:val="en-US" w:eastAsia="zh-CN"/>
        </w:rPr>
        <w:t>G</w:t>
      </w:r>
      <w:r>
        <w:rPr>
          <w:rFonts w:hint="eastAsia" w:ascii="宋体" w:hAnsi="宋体" w:eastAsia="宋体" w:cs="宋体"/>
          <w:b/>
          <w:bCs/>
          <w:color w:val="auto"/>
          <w:kern w:val="2"/>
          <w:szCs w:val="21"/>
          <w:highlight w:val="none"/>
        </w:rPr>
        <w:t>.8</w:t>
      </w:r>
      <w:r>
        <w:rPr>
          <w:rFonts w:hint="eastAsia" w:ascii="黑体" w:hAnsi="黑体" w:eastAsia="黑体" w:cs="黑体"/>
          <w:b/>
          <w:bCs/>
          <w:color w:val="auto"/>
          <w:kern w:val="2"/>
          <w:szCs w:val="21"/>
          <w:highlight w:val="none"/>
        </w:rPr>
        <w:t xml:space="preserve"> </w:t>
      </w:r>
      <w:r>
        <w:rPr>
          <w:rFonts w:hint="eastAsia" w:ascii="Times New Roman"/>
          <w:color w:val="auto"/>
          <w:kern w:val="2"/>
          <w:szCs w:val="21"/>
          <w:highlight w:val="none"/>
        </w:rPr>
        <w:t>暗管排水间距的经验取值（见表</w:t>
      </w:r>
      <w:r>
        <w:rPr>
          <w:rFonts w:hint="eastAsia" w:ascii="宋体" w:hAnsi="宋体" w:eastAsia="宋体" w:cs="宋体"/>
          <w:color w:val="auto"/>
          <w:kern w:val="2"/>
          <w:szCs w:val="21"/>
          <w:highlight w:val="none"/>
          <w:lang w:val="en-US" w:eastAsia="zh-CN"/>
        </w:rPr>
        <w:t>G</w:t>
      </w:r>
      <w:r>
        <w:rPr>
          <w:rFonts w:hint="eastAsia" w:ascii="宋体" w:hAnsi="宋体" w:eastAsia="宋体" w:cs="宋体"/>
          <w:color w:val="auto"/>
          <w:kern w:val="2"/>
          <w:szCs w:val="21"/>
          <w:highlight w:val="none"/>
        </w:rPr>
        <w:t>.8-1</w:t>
      </w:r>
      <w:r>
        <w:rPr>
          <w:rFonts w:hint="eastAsia" w:ascii="Times New Roman"/>
          <w:color w:val="auto"/>
          <w:kern w:val="2"/>
          <w:szCs w:val="21"/>
          <w:highlight w:val="none"/>
        </w:rPr>
        <w:t>）</w:t>
      </w:r>
      <w:r>
        <w:rPr>
          <w:rFonts w:hint="eastAsia" w:ascii="Times New Roman"/>
          <w:color w:val="auto"/>
          <w:kern w:val="2"/>
          <w:szCs w:val="21"/>
          <w:highlight w:val="none"/>
          <w:lang w:eastAsia="zh-CN"/>
        </w:rPr>
        <w:t>。</w:t>
      </w:r>
    </w:p>
    <w:p w14:paraId="6E3C634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eastAsia="黑体"/>
          <w:color w:val="auto"/>
          <w:sz w:val="18"/>
          <w:szCs w:val="18"/>
          <w:highlight w:val="none"/>
        </w:rPr>
      </w:pPr>
      <w:r>
        <w:rPr>
          <w:rFonts w:hint="eastAsia" w:ascii="黑体" w:eastAsia="黑体"/>
          <w:color w:val="auto"/>
          <w:sz w:val="18"/>
          <w:szCs w:val="18"/>
          <w:highlight w:val="none"/>
        </w:rPr>
        <w:t>表G.8-1 暗管排水间距的经验取值（摘自TD/T1043.2）</w:t>
      </w:r>
    </w:p>
    <w:tbl>
      <w:tblPr>
        <w:tblStyle w:val="34"/>
        <w:tblW w:w="52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2"/>
        <w:gridCol w:w="1559"/>
        <w:gridCol w:w="1299"/>
        <w:gridCol w:w="1299"/>
      </w:tblGrid>
      <w:tr w14:paraId="4D6EF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tcBorders>
              <w:top w:val="single" w:color="auto" w:sz="4" w:space="0"/>
              <w:left w:val="single" w:color="auto" w:sz="4" w:space="0"/>
              <w:bottom w:val="single" w:color="auto" w:sz="4" w:space="0"/>
              <w:right w:val="single" w:color="auto" w:sz="4" w:space="0"/>
            </w:tcBorders>
            <w:vAlign w:val="center"/>
          </w:tcPr>
          <w:p w14:paraId="677E6550">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土质</w:t>
            </w:r>
          </w:p>
        </w:tc>
        <w:tc>
          <w:tcPr>
            <w:tcW w:w="1559" w:type="dxa"/>
            <w:tcBorders>
              <w:top w:val="single" w:color="auto" w:sz="4" w:space="0"/>
              <w:left w:val="nil"/>
              <w:bottom w:val="single" w:color="auto" w:sz="4" w:space="0"/>
              <w:right w:val="single" w:color="auto" w:sz="4" w:space="0"/>
            </w:tcBorders>
            <w:vAlign w:val="center"/>
          </w:tcPr>
          <w:p w14:paraId="17024E2E">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渗透系数（m/d）</w:t>
            </w:r>
          </w:p>
        </w:tc>
        <w:tc>
          <w:tcPr>
            <w:tcW w:w="1299" w:type="dxa"/>
            <w:tcBorders>
              <w:top w:val="single" w:color="auto" w:sz="4" w:space="0"/>
              <w:left w:val="nil"/>
              <w:bottom w:val="single" w:color="auto" w:sz="4" w:space="0"/>
              <w:right w:val="single" w:color="auto" w:sz="4" w:space="0"/>
            </w:tcBorders>
            <w:vAlign w:val="center"/>
          </w:tcPr>
          <w:p w14:paraId="549CC1BB">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暗管埋深（m）</w:t>
            </w:r>
          </w:p>
        </w:tc>
        <w:tc>
          <w:tcPr>
            <w:tcW w:w="1299" w:type="dxa"/>
            <w:tcBorders>
              <w:top w:val="single" w:color="auto" w:sz="4" w:space="0"/>
              <w:left w:val="nil"/>
              <w:bottom w:val="single" w:color="auto" w:sz="4" w:space="0"/>
              <w:right w:val="single" w:color="auto" w:sz="4" w:space="0"/>
            </w:tcBorders>
            <w:vAlign w:val="center"/>
          </w:tcPr>
          <w:p w14:paraId="72A0A1D6">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暗管间距（m）</w:t>
            </w:r>
          </w:p>
        </w:tc>
      </w:tr>
      <w:tr w14:paraId="352FC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tcBorders>
              <w:top w:val="single" w:color="auto" w:sz="4" w:space="0"/>
              <w:left w:val="single" w:color="auto" w:sz="4" w:space="0"/>
              <w:bottom w:val="single" w:color="auto" w:sz="4" w:space="0"/>
              <w:right w:val="single" w:color="auto" w:sz="4" w:space="0"/>
            </w:tcBorders>
            <w:vAlign w:val="center"/>
          </w:tcPr>
          <w:p w14:paraId="0BD016C2">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黏土</w:t>
            </w:r>
          </w:p>
        </w:tc>
        <w:tc>
          <w:tcPr>
            <w:tcW w:w="1559" w:type="dxa"/>
            <w:tcBorders>
              <w:top w:val="single" w:color="auto" w:sz="4" w:space="0"/>
              <w:left w:val="nil"/>
              <w:bottom w:val="single" w:color="auto" w:sz="4" w:space="0"/>
              <w:right w:val="single" w:color="auto" w:sz="4" w:space="0"/>
            </w:tcBorders>
            <w:vAlign w:val="center"/>
          </w:tcPr>
          <w:p w14:paraId="46036650">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&lt;0.3</w:t>
            </w:r>
          </w:p>
        </w:tc>
        <w:tc>
          <w:tcPr>
            <w:tcW w:w="1299" w:type="dxa"/>
            <w:vMerge w:val="restart"/>
            <w:tcBorders>
              <w:top w:val="nil"/>
              <w:left w:val="nil"/>
              <w:bottom w:val="single" w:color="auto" w:sz="4" w:space="0"/>
              <w:right w:val="single" w:color="auto" w:sz="4" w:space="0"/>
            </w:tcBorders>
            <w:vAlign w:val="center"/>
          </w:tcPr>
          <w:p w14:paraId="07DC531F">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0.8～1.0</w:t>
            </w:r>
          </w:p>
        </w:tc>
        <w:tc>
          <w:tcPr>
            <w:tcW w:w="1299" w:type="dxa"/>
            <w:tcBorders>
              <w:top w:val="single" w:color="auto" w:sz="4" w:space="0"/>
              <w:left w:val="nil"/>
              <w:bottom w:val="single" w:color="auto" w:sz="4" w:space="0"/>
              <w:right w:val="single" w:color="auto" w:sz="4" w:space="0"/>
            </w:tcBorders>
            <w:vAlign w:val="center"/>
          </w:tcPr>
          <w:p w14:paraId="1AD5E1D6">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8～14</w:t>
            </w:r>
          </w:p>
        </w:tc>
      </w:tr>
      <w:tr w14:paraId="55989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tcBorders>
              <w:top w:val="single" w:color="auto" w:sz="4" w:space="0"/>
              <w:left w:val="single" w:color="auto" w:sz="4" w:space="0"/>
              <w:bottom w:val="single" w:color="auto" w:sz="4" w:space="0"/>
              <w:right w:val="single" w:color="auto" w:sz="4" w:space="0"/>
            </w:tcBorders>
            <w:vAlign w:val="center"/>
          </w:tcPr>
          <w:p w14:paraId="2D5D952D">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壤土</w:t>
            </w:r>
          </w:p>
        </w:tc>
        <w:tc>
          <w:tcPr>
            <w:tcW w:w="1559" w:type="dxa"/>
            <w:tcBorders>
              <w:top w:val="single" w:color="auto" w:sz="4" w:space="0"/>
              <w:left w:val="nil"/>
              <w:bottom w:val="single" w:color="auto" w:sz="4" w:space="0"/>
              <w:right w:val="single" w:color="auto" w:sz="4" w:space="0"/>
            </w:tcBorders>
            <w:vAlign w:val="center"/>
          </w:tcPr>
          <w:p w14:paraId="59DC69F4">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0.3～0.6</w:t>
            </w:r>
          </w:p>
        </w:tc>
        <w:tc>
          <w:tcPr>
            <w:tcW w:w="1299" w:type="dxa"/>
            <w:vMerge w:val="continue"/>
            <w:tcBorders>
              <w:top w:val="nil"/>
              <w:left w:val="nil"/>
              <w:bottom w:val="single" w:color="auto" w:sz="4" w:space="0"/>
              <w:right w:val="single" w:color="auto" w:sz="4" w:space="0"/>
            </w:tcBorders>
            <w:vAlign w:val="center"/>
          </w:tcPr>
          <w:p w14:paraId="1E536B1C">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p>
        </w:tc>
        <w:tc>
          <w:tcPr>
            <w:tcW w:w="1299" w:type="dxa"/>
            <w:tcBorders>
              <w:top w:val="single" w:color="auto" w:sz="4" w:space="0"/>
              <w:left w:val="nil"/>
              <w:bottom w:val="single" w:color="auto" w:sz="4" w:space="0"/>
              <w:right w:val="single" w:color="auto" w:sz="4" w:space="0"/>
            </w:tcBorders>
            <w:vAlign w:val="center"/>
          </w:tcPr>
          <w:p w14:paraId="3808CABC">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14～20</w:t>
            </w:r>
          </w:p>
        </w:tc>
      </w:tr>
      <w:tr w14:paraId="5E977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tcBorders>
              <w:top w:val="single" w:color="auto" w:sz="4" w:space="0"/>
              <w:left w:val="single" w:color="auto" w:sz="4" w:space="0"/>
              <w:bottom w:val="single" w:color="auto" w:sz="4" w:space="0"/>
              <w:right w:val="single" w:color="auto" w:sz="4" w:space="0"/>
            </w:tcBorders>
            <w:vAlign w:val="center"/>
          </w:tcPr>
          <w:p w14:paraId="3072AF64">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砂土</w:t>
            </w:r>
          </w:p>
        </w:tc>
        <w:tc>
          <w:tcPr>
            <w:tcW w:w="1559" w:type="dxa"/>
            <w:tcBorders>
              <w:top w:val="single" w:color="auto" w:sz="4" w:space="0"/>
              <w:left w:val="nil"/>
              <w:bottom w:val="single" w:color="auto" w:sz="4" w:space="0"/>
              <w:right w:val="single" w:color="auto" w:sz="4" w:space="0"/>
            </w:tcBorders>
            <w:vAlign w:val="center"/>
          </w:tcPr>
          <w:p w14:paraId="23D50846">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&gt;0.6</w:t>
            </w:r>
          </w:p>
        </w:tc>
        <w:tc>
          <w:tcPr>
            <w:tcW w:w="1299" w:type="dxa"/>
            <w:vMerge w:val="continue"/>
            <w:tcBorders>
              <w:top w:val="nil"/>
              <w:left w:val="nil"/>
              <w:bottom w:val="single" w:color="auto" w:sz="4" w:space="0"/>
              <w:right w:val="single" w:color="auto" w:sz="4" w:space="0"/>
            </w:tcBorders>
            <w:vAlign w:val="center"/>
          </w:tcPr>
          <w:p w14:paraId="46DA5DF5">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p>
        </w:tc>
        <w:tc>
          <w:tcPr>
            <w:tcW w:w="1299" w:type="dxa"/>
            <w:tcBorders>
              <w:top w:val="single" w:color="auto" w:sz="4" w:space="0"/>
              <w:left w:val="nil"/>
              <w:bottom w:val="single" w:color="auto" w:sz="4" w:space="0"/>
              <w:right w:val="single" w:color="auto" w:sz="4" w:space="0"/>
            </w:tcBorders>
            <w:vAlign w:val="center"/>
          </w:tcPr>
          <w:p w14:paraId="497B7357">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20～24</w:t>
            </w:r>
          </w:p>
        </w:tc>
      </w:tr>
      <w:tr w14:paraId="7F98A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tcBorders>
              <w:top w:val="single" w:color="auto" w:sz="4" w:space="0"/>
              <w:left w:val="single" w:color="auto" w:sz="4" w:space="0"/>
              <w:bottom w:val="single" w:color="auto" w:sz="4" w:space="0"/>
              <w:right w:val="single" w:color="auto" w:sz="4" w:space="0"/>
            </w:tcBorders>
            <w:vAlign w:val="center"/>
          </w:tcPr>
          <w:p w14:paraId="32029B43">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黏土</w:t>
            </w:r>
          </w:p>
        </w:tc>
        <w:tc>
          <w:tcPr>
            <w:tcW w:w="1559" w:type="dxa"/>
            <w:tcBorders>
              <w:top w:val="single" w:color="auto" w:sz="4" w:space="0"/>
              <w:left w:val="nil"/>
              <w:bottom w:val="single" w:color="auto" w:sz="4" w:space="0"/>
              <w:right w:val="single" w:color="auto" w:sz="4" w:space="0"/>
            </w:tcBorders>
            <w:vAlign w:val="center"/>
          </w:tcPr>
          <w:p w14:paraId="6E7A432E">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&lt;0.3</w:t>
            </w:r>
          </w:p>
        </w:tc>
        <w:tc>
          <w:tcPr>
            <w:tcW w:w="1299" w:type="dxa"/>
            <w:vMerge w:val="restart"/>
            <w:tcBorders>
              <w:top w:val="nil"/>
              <w:left w:val="nil"/>
              <w:bottom w:val="single" w:color="auto" w:sz="4" w:space="0"/>
              <w:right w:val="single" w:color="auto" w:sz="4" w:space="0"/>
            </w:tcBorders>
            <w:vAlign w:val="center"/>
          </w:tcPr>
          <w:p w14:paraId="1C6813AD">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&gt;1.0且&lt;1.5</w:t>
            </w:r>
          </w:p>
        </w:tc>
        <w:tc>
          <w:tcPr>
            <w:tcW w:w="1299" w:type="dxa"/>
            <w:tcBorders>
              <w:top w:val="single" w:color="auto" w:sz="4" w:space="0"/>
              <w:left w:val="nil"/>
              <w:bottom w:val="single" w:color="auto" w:sz="4" w:space="0"/>
              <w:right w:val="single" w:color="auto" w:sz="4" w:space="0"/>
            </w:tcBorders>
            <w:vAlign w:val="center"/>
          </w:tcPr>
          <w:p w14:paraId="27F89F46">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14～20</w:t>
            </w:r>
          </w:p>
        </w:tc>
      </w:tr>
      <w:tr w14:paraId="2D3E85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tcBorders>
              <w:top w:val="single" w:color="auto" w:sz="4" w:space="0"/>
              <w:left w:val="single" w:color="auto" w:sz="4" w:space="0"/>
              <w:bottom w:val="single" w:color="auto" w:sz="4" w:space="0"/>
              <w:right w:val="single" w:color="auto" w:sz="4" w:space="0"/>
            </w:tcBorders>
            <w:vAlign w:val="center"/>
          </w:tcPr>
          <w:p w14:paraId="38FFF781">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壤土</w:t>
            </w:r>
          </w:p>
        </w:tc>
        <w:tc>
          <w:tcPr>
            <w:tcW w:w="1559" w:type="dxa"/>
            <w:tcBorders>
              <w:top w:val="single" w:color="auto" w:sz="4" w:space="0"/>
              <w:left w:val="nil"/>
              <w:bottom w:val="single" w:color="auto" w:sz="4" w:space="0"/>
              <w:right w:val="single" w:color="auto" w:sz="4" w:space="0"/>
            </w:tcBorders>
            <w:vAlign w:val="center"/>
          </w:tcPr>
          <w:p w14:paraId="7CEA32DA">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0.3～0.6</w:t>
            </w:r>
          </w:p>
        </w:tc>
        <w:tc>
          <w:tcPr>
            <w:tcW w:w="1299" w:type="dxa"/>
            <w:vMerge w:val="continue"/>
            <w:tcBorders>
              <w:top w:val="nil"/>
              <w:left w:val="nil"/>
              <w:bottom w:val="single" w:color="auto" w:sz="4" w:space="0"/>
              <w:right w:val="single" w:color="auto" w:sz="4" w:space="0"/>
            </w:tcBorders>
            <w:vAlign w:val="center"/>
          </w:tcPr>
          <w:p w14:paraId="33CF949E">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p>
        </w:tc>
        <w:tc>
          <w:tcPr>
            <w:tcW w:w="1299" w:type="dxa"/>
            <w:tcBorders>
              <w:top w:val="single" w:color="auto" w:sz="4" w:space="0"/>
              <w:left w:val="nil"/>
              <w:bottom w:val="single" w:color="auto" w:sz="4" w:space="0"/>
              <w:right w:val="single" w:color="auto" w:sz="4" w:space="0"/>
            </w:tcBorders>
            <w:vAlign w:val="center"/>
          </w:tcPr>
          <w:p w14:paraId="4DCAA5A6">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25～35</w:t>
            </w:r>
          </w:p>
        </w:tc>
      </w:tr>
      <w:tr w14:paraId="4729C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2" w:type="dxa"/>
            <w:tcBorders>
              <w:top w:val="single" w:color="auto" w:sz="4" w:space="0"/>
              <w:left w:val="single" w:color="auto" w:sz="4" w:space="0"/>
              <w:bottom w:val="single" w:color="auto" w:sz="4" w:space="0"/>
              <w:right w:val="single" w:color="auto" w:sz="4" w:space="0"/>
            </w:tcBorders>
            <w:vAlign w:val="center"/>
          </w:tcPr>
          <w:p w14:paraId="42BDE9CF">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砂土</w:t>
            </w:r>
          </w:p>
        </w:tc>
        <w:tc>
          <w:tcPr>
            <w:tcW w:w="1559" w:type="dxa"/>
            <w:tcBorders>
              <w:top w:val="single" w:color="auto" w:sz="4" w:space="0"/>
              <w:left w:val="nil"/>
              <w:bottom w:val="single" w:color="auto" w:sz="4" w:space="0"/>
              <w:right w:val="single" w:color="auto" w:sz="4" w:space="0"/>
            </w:tcBorders>
            <w:vAlign w:val="center"/>
          </w:tcPr>
          <w:p w14:paraId="1E7CC7FC">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&gt;0.6</w:t>
            </w:r>
          </w:p>
        </w:tc>
        <w:tc>
          <w:tcPr>
            <w:tcW w:w="1299" w:type="dxa"/>
            <w:vMerge w:val="continue"/>
            <w:tcBorders>
              <w:top w:val="nil"/>
              <w:left w:val="nil"/>
              <w:bottom w:val="single" w:color="auto" w:sz="4" w:space="0"/>
              <w:right w:val="single" w:color="auto" w:sz="4" w:space="0"/>
            </w:tcBorders>
            <w:vAlign w:val="center"/>
          </w:tcPr>
          <w:p w14:paraId="2B2312F2">
            <w:pPr>
              <w:keepNext w:val="0"/>
              <w:keepLines w:val="0"/>
              <w:pageBreakBefore w:val="0"/>
              <w:widowControl/>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p>
        </w:tc>
        <w:tc>
          <w:tcPr>
            <w:tcW w:w="1299" w:type="dxa"/>
            <w:tcBorders>
              <w:top w:val="single" w:color="auto" w:sz="4" w:space="0"/>
              <w:left w:val="nil"/>
              <w:bottom w:val="single" w:color="auto" w:sz="4" w:space="0"/>
              <w:right w:val="single" w:color="auto" w:sz="4" w:space="0"/>
            </w:tcBorders>
            <w:vAlign w:val="center"/>
          </w:tcPr>
          <w:p w14:paraId="395D02C9">
            <w:pPr>
              <w:keepNext w:val="0"/>
              <w:keepLines w:val="0"/>
              <w:pageBreakBefore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&gt;35</w:t>
            </w:r>
          </w:p>
        </w:tc>
      </w:tr>
    </w:tbl>
    <w:p w14:paraId="0E2AA1C2">
      <w:pPr>
        <w:pStyle w:val="25"/>
        <w:rPr>
          <w:rFonts w:hint="eastAsia" w:ascii="Times New Roman"/>
          <w:color w:val="auto"/>
          <w:position w:val="-6"/>
          <w:szCs w:val="21"/>
          <w:highlight w:val="none"/>
        </w:rPr>
      </w:pPr>
    </w:p>
    <w:p w14:paraId="23454EE0">
      <w:pPr>
        <w:pStyle w:val="75"/>
        <w:rPr>
          <w:rFonts w:hint="eastAsia"/>
          <w:color w:val="auto"/>
          <w:highlight w:val="none"/>
        </w:rPr>
      </w:pPr>
      <w:r>
        <w:rPr>
          <w:color w:val="auto"/>
          <w:highlight w:val="none"/>
        </w:rPr>
        <w:br w:type="textWrapping"/>
      </w:r>
      <w:r>
        <w:rPr>
          <w:rFonts w:hint="eastAsia"/>
          <w:color w:val="auto"/>
          <w:highlight w:val="none"/>
        </w:rPr>
        <w:t>（资料性附录）</w:t>
      </w:r>
      <w:r>
        <w:rPr>
          <w:color w:val="auto"/>
          <w:highlight w:val="none"/>
        </w:rPr>
        <w:br w:type="textWrapping"/>
      </w:r>
      <w:r>
        <w:rPr>
          <w:rFonts w:hint="eastAsia"/>
          <w:color w:val="auto"/>
          <w:highlight w:val="none"/>
        </w:rPr>
        <w:t>管道设计中与充盈度有关的系数确定方法</w:t>
      </w:r>
    </w:p>
    <w:p w14:paraId="0F2694FA">
      <w:pPr>
        <w:keepNext w:val="0"/>
        <w:keepLines w:val="0"/>
        <w:pageBreakBefore w:val="0"/>
        <w:widowControl w:val="0"/>
        <w:kinsoku/>
        <w:wordWrap/>
        <w:overflowPunct/>
        <w:topLinePunct w:val="0"/>
        <w:autoSpaceDE w:val="0"/>
        <w:autoSpaceDN w:val="0"/>
        <w:bidi w:val="0"/>
        <w:adjustRightInd w:val="0"/>
        <w:snapToGrid/>
        <w:spacing w:line="240" w:lineRule="auto"/>
        <w:jc w:val="left"/>
        <w:textAlignment w:val="auto"/>
        <w:rPr>
          <w:color w:val="auto"/>
          <w:szCs w:val="21"/>
          <w:highlight w:val="none"/>
        </w:rPr>
      </w:pPr>
      <w:r>
        <w:rPr>
          <w:rFonts w:hint="eastAsia" w:ascii="宋体" w:hAnsi="宋体" w:eastAsia="宋体" w:cs="宋体"/>
          <w:b/>
          <w:bCs/>
          <w:color w:val="auto"/>
          <w:kern w:val="21"/>
          <w:szCs w:val="22"/>
          <w:highlight w:val="none"/>
        </w:rPr>
        <w:t>H.1</w:t>
      </w:r>
      <w:r>
        <w:rPr>
          <w:rFonts w:ascii="黑体" w:eastAsia="黑体"/>
          <w:color w:val="auto"/>
          <w:kern w:val="21"/>
          <w:szCs w:val="22"/>
          <w:highlight w:val="none"/>
        </w:rPr>
        <w:t xml:space="preserve"> </w:t>
      </w:r>
      <w:r>
        <w:rPr>
          <w:color w:val="auto"/>
          <w:szCs w:val="21"/>
          <w:highlight w:val="none"/>
        </w:rPr>
        <w:t>圆形管道设计中与充盈度有关的系数</w:t>
      </w:r>
      <w:r>
        <w:rPr>
          <w:rFonts w:hint="default" w:ascii="Times New Roman" w:hAnsi="Times New Roman" w:cs="Times New Roman"/>
          <w:i/>
          <w:iCs/>
          <w:color w:val="auto"/>
          <w:szCs w:val="21"/>
          <w:highlight w:val="none"/>
        </w:rPr>
        <w:t>α</w:t>
      </w:r>
      <w:r>
        <w:rPr>
          <w:color w:val="auto"/>
          <w:szCs w:val="21"/>
          <w:highlight w:val="none"/>
        </w:rPr>
        <w:t>值和</w:t>
      </w:r>
      <w:r>
        <w:rPr>
          <w:rFonts w:hint="default" w:ascii="Times New Roman" w:hAnsi="Times New Roman" w:cs="Times New Roman"/>
          <w:i/>
          <w:iCs/>
          <w:color w:val="auto"/>
          <w:szCs w:val="21"/>
          <w:highlight w:val="none"/>
        </w:rPr>
        <w:t>β</w:t>
      </w:r>
      <w:r>
        <w:rPr>
          <w:color w:val="auto"/>
          <w:szCs w:val="21"/>
          <w:highlight w:val="none"/>
        </w:rPr>
        <w:t>值可用</w:t>
      </w:r>
      <w:r>
        <w:rPr>
          <w:rFonts w:hint="eastAsia" w:ascii="宋体" w:hAnsi="宋体" w:eastAsia="宋体" w:cs="宋体"/>
          <w:color w:val="auto"/>
          <w:szCs w:val="21"/>
          <w:highlight w:val="none"/>
        </w:rPr>
        <w:t>式（H.1-1）和式（H.1-2）</w:t>
      </w:r>
      <w:r>
        <w:rPr>
          <w:color w:val="auto"/>
          <w:szCs w:val="21"/>
          <w:highlight w:val="none"/>
        </w:rPr>
        <w:t>计算：</w:t>
      </w:r>
    </w:p>
    <w:p w14:paraId="180AC20E">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66"/>
          <w:highlight w:val="none"/>
        </w:rPr>
        <w:object>
          <v:shape id="_x0000_i1060" o:spt="75" type="#_x0000_t75" style="height:77pt;width:233pt;" o:ole="t" filled="f" o:preferrelative="t" stroked="f" coordsize="21600,21600">
            <v:path/>
            <v:fill on="f" focussize="0,0"/>
            <v:stroke on="f"/>
            <v:imagedata r:id="rId88" o:title=""/>
            <o:lock v:ext="edit" aspectratio="t"/>
            <w10:wrap type="none"/>
            <w10:anchorlock/>
          </v:shape>
          <o:OLEObject Type="Embed" ProgID="Equation.KSEE3" ShapeID="_x0000_i1060" DrawAspect="Content" ObjectID="_1468075760" r:id="rId87">
            <o:LockedField>false</o:LockedField>
          </o:OLEObject>
        </w:object>
      </w:r>
      <w:r>
        <w:rPr>
          <w:rFonts w:ascii="Times New Roman"/>
          <w:color w:val="auto"/>
          <w:highlight w:val="none"/>
        </w:rPr>
        <w:t xml:space="preserve"> </w:t>
      </w:r>
      <w:r>
        <w:rPr>
          <w:rFonts w:hint="eastAsia" w:ascii="Times New Roman"/>
          <w:color w:val="auto"/>
          <w:highlight w:val="none"/>
          <w:lang w:val="en-US" w:eastAsia="zh-CN"/>
        </w:rPr>
        <w:t xml:space="preserve">             </w:t>
      </w:r>
      <w:r>
        <w:rPr>
          <w:rFonts w:ascii="Times New Roman"/>
          <w:color w:val="auto"/>
          <w:highlight w:val="none"/>
          <w:lang w:eastAsia="zh-CN"/>
        </w:rPr>
        <w:t>（</w:t>
      </w:r>
      <w:r>
        <w:rPr>
          <w:rFonts w:ascii="Times New Roman"/>
          <w:color w:val="auto"/>
          <w:highlight w:val="none"/>
        </w:rPr>
        <w:fldChar w:fldCharType="begin"/>
      </w:r>
      <w:r>
        <w:rPr>
          <w:rFonts w:ascii="Times New Roman"/>
          <w:color w:val="auto"/>
          <w:highlight w:val="none"/>
        </w:rPr>
        <w:instrText xml:space="preserve"> STYLEREF  附录标识 \l \n \t \* MERGEFORMAT </w:instrText>
      </w:r>
      <w:r>
        <w:rPr>
          <w:rFonts w:ascii="Times New Roman"/>
          <w:color w:val="auto"/>
          <w:highlight w:val="none"/>
        </w:rPr>
        <w:fldChar w:fldCharType="separate"/>
      </w:r>
      <w:r>
        <w:rPr>
          <w:rFonts w:ascii="Times New Roman"/>
          <w:color w:val="auto"/>
          <w:highlight w:val="none"/>
        </w:rPr>
        <w:t>H</w:t>
      </w:r>
      <w:r>
        <w:rPr>
          <w:rFonts w:ascii="Times New Roman"/>
          <w:color w:val="auto"/>
          <w:highlight w:val="none"/>
        </w:rPr>
        <w:fldChar w:fldCharType="end"/>
      </w:r>
      <w:r>
        <w:rPr>
          <w:rFonts w:ascii="Times New Roman"/>
          <w:color w:val="auto"/>
          <w:highlight w:val="none"/>
        </w:rPr>
        <w:t>.</w:t>
      </w:r>
      <w:r>
        <w:rPr>
          <w:rFonts w:ascii="Times New Roman"/>
          <w:color w:val="auto"/>
          <w:highlight w:val="none"/>
        </w:rPr>
        <w:fldChar w:fldCharType="begin"/>
      </w:r>
      <w:r>
        <w:rPr>
          <w:rFonts w:ascii="Times New Roman"/>
          <w:color w:val="auto"/>
          <w:highlight w:val="none"/>
        </w:rPr>
        <w:instrText xml:space="preserve"> seq 附录公式 \r 1 </w:instrText>
      </w:r>
      <w:r>
        <w:rPr>
          <w:rFonts w:ascii="Times New Roman"/>
          <w:color w:val="auto"/>
          <w:highlight w:val="none"/>
        </w:rPr>
        <w:fldChar w:fldCharType="separate"/>
      </w:r>
      <w:r>
        <w:rPr>
          <w:rFonts w:ascii="Times New Roman"/>
          <w:color w:val="auto"/>
          <w:highlight w:val="none"/>
        </w:rPr>
        <w:t>1</w:t>
      </w:r>
      <w:r>
        <w:rPr>
          <w:rFonts w:ascii="Times New Roman"/>
          <w:color w:val="auto"/>
          <w:highlight w:val="none"/>
        </w:rPr>
        <w:fldChar w:fldCharType="end"/>
      </w:r>
      <w:r>
        <w:rPr>
          <w:rFonts w:ascii="Times New Roman"/>
          <w:color w:val="auto"/>
          <w:highlight w:val="none"/>
        </w:rPr>
        <w:t>-1</w:t>
      </w:r>
      <w:r>
        <w:rPr>
          <w:rFonts w:ascii="Times New Roman"/>
          <w:color w:val="auto"/>
          <w:highlight w:val="none"/>
          <w:lang w:eastAsia="zh-CN"/>
        </w:rPr>
        <w:t>）</w:t>
      </w:r>
    </w:p>
    <w:p w14:paraId="3974A05E">
      <w:pPr>
        <w:pStyle w:val="108"/>
        <w:jc w:val="right"/>
        <w:rPr>
          <w:rFonts w:ascii="Times New Roman"/>
          <w:color w:val="auto"/>
          <w:highlight w:val="none"/>
          <w:lang w:eastAsia="zh-CN"/>
        </w:rPr>
      </w:pPr>
      <w:r>
        <w:rPr>
          <w:rFonts w:ascii="Times New Roman"/>
          <w:color w:val="auto"/>
          <w:highlight w:val="none"/>
        </w:rPr>
        <w:tab/>
      </w:r>
      <w:r>
        <w:rPr>
          <w:rFonts w:ascii="Times New Roman"/>
          <w:color w:val="auto"/>
          <w:highlight w:val="none"/>
        </w:rPr>
        <w:t xml:space="preserve">             </w:t>
      </w:r>
      <w:r>
        <w:rPr>
          <w:rFonts w:ascii="Times New Roman"/>
          <w:color w:val="auto"/>
          <w:position w:val="-62"/>
          <w:highlight w:val="none"/>
        </w:rPr>
        <w:object>
          <v:shape id="_x0000_i1061" o:spt="75" type="#_x0000_t75" style="height:71pt;width:232pt;" o:ole="t" filled="f" o:preferrelative="t" stroked="f" coordsize="21600,21600">
            <v:path/>
            <v:fill on="f" focussize="0,0"/>
            <v:stroke on="f"/>
            <v:imagedata r:id="rId90" o:title=""/>
            <o:lock v:ext="edit" aspectratio="t"/>
            <w10:wrap type="none"/>
            <w10:anchorlock/>
          </v:shape>
          <o:OLEObject Type="Embed" ProgID="Equation.KSEE3" ShapeID="_x0000_i1061" DrawAspect="Content" ObjectID="_1468075761" r:id="rId89">
            <o:LockedField>false</o:LockedField>
          </o:OLEObject>
        </w:object>
      </w:r>
      <w:r>
        <w:rPr>
          <w:rFonts w:ascii="Times New Roman"/>
          <w:color w:val="auto"/>
          <w:highlight w:val="none"/>
        </w:rPr>
        <w:t xml:space="preserve">   </w:t>
      </w:r>
      <w:r>
        <w:rPr>
          <w:rFonts w:hint="eastAsia" w:ascii="Times New Roman"/>
          <w:color w:val="auto"/>
          <w:highlight w:val="none"/>
          <w:lang w:val="en-US" w:eastAsia="zh-CN"/>
        </w:rPr>
        <w:t xml:space="preserve">           </w:t>
      </w:r>
      <w:r>
        <w:rPr>
          <w:rFonts w:ascii="Times New Roman"/>
          <w:color w:val="auto"/>
          <w:highlight w:val="none"/>
          <w:lang w:eastAsia="zh-CN"/>
        </w:rPr>
        <w:t>（</w:t>
      </w:r>
      <w:r>
        <w:rPr>
          <w:rFonts w:ascii="Times New Roman"/>
          <w:color w:val="auto"/>
          <w:highlight w:val="none"/>
        </w:rPr>
        <w:fldChar w:fldCharType="begin"/>
      </w:r>
      <w:r>
        <w:rPr>
          <w:rFonts w:ascii="Times New Roman"/>
          <w:color w:val="auto"/>
          <w:highlight w:val="none"/>
        </w:rPr>
        <w:instrText xml:space="preserve"> STYLEREF  附录标识 \l \n \t \* MERGEFORMAT </w:instrText>
      </w:r>
      <w:r>
        <w:rPr>
          <w:rFonts w:ascii="Times New Roman"/>
          <w:color w:val="auto"/>
          <w:highlight w:val="none"/>
        </w:rPr>
        <w:fldChar w:fldCharType="separate"/>
      </w:r>
      <w:r>
        <w:rPr>
          <w:rFonts w:ascii="Times New Roman"/>
          <w:color w:val="auto"/>
          <w:highlight w:val="none"/>
        </w:rPr>
        <w:t>H</w:t>
      </w:r>
      <w:r>
        <w:rPr>
          <w:rFonts w:ascii="Times New Roman"/>
          <w:color w:val="auto"/>
          <w:highlight w:val="none"/>
        </w:rPr>
        <w:fldChar w:fldCharType="end"/>
      </w:r>
      <w:r>
        <w:rPr>
          <w:rFonts w:ascii="Times New Roman"/>
          <w:color w:val="auto"/>
          <w:highlight w:val="none"/>
        </w:rPr>
        <w:t>.1-</w:t>
      </w:r>
      <w:r>
        <w:rPr>
          <w:rFonts w:ascii="Times New Roman"/>
          <w:color w:val="auto"/>
          <w:highlight w:val="none"/>
        </w:rPr>
        <w:fldChar w:fldCharType="begin"/>
      </w:r>
      <w:r>
        <w:rPr>
          <w:rFonts w:ascii="Times New Roman"/>
          <w:color w:val="auto"/>
          <w:highlight w:val="none"/>
        </w:rPr>
        <w:instrText xml:space="preserve"> seq 附录公式  </w:instrText>
      </w:r>
      <w:r>
        <w:rPr>
          <w:rFonts w:ascii="Times New Roman"/>
          <w:color w:val="auto"/>
          <w:highlight w:val="none"/>
        </w:rPr>
        <w:fldChar w:fldCharType="separate"/>
      </w:r>
      <w:r>
        <w:rPr>
          <w:rFonts w:ascii="Times New Roman"/>
          <w:color w:val="auto"/>
          <w:highlight w:val="none"/>
        </w:rPr>
        <w:t>2</w:t>
      </w:r>
      <w:r>
        <w:rPr>
          <w:rFonts w:ascii="Times New Roman"/>
          <w:color w:val="auto"/>
          <w:highlight w:val="none"/>
        </w:rPr>
        <w:fldChar w:fldCharType="end"/>
      </w:r>
      <w:r>
        <w:rPr>
          <w:rFonts w:ascii="Times New Roman"/>
          <w:color w:val="auto"/>
          <w:highlight w:val="none"/>
          <w:lang w:eastAsia="zh-CN"/>
        </w:rPr>
        <w:t>）</w:t>
      </w:r>
    </w:p>
    <w:p w14:paraId="1D8A1AF9">
      <w:pPr>
        <w:keepNext w:val="0"/>
        <w:keepLines w:val="0"/>
        <w:pageBreakBefore w:val="0"/>
        <w:widowControl w:val="0"/>
        <w:kinsoku/>
        <w:wordWrap/>
        <w:overflowPunct/>
        <w:topLinePunct w:val="0"/>
        <w:autoSpaceDE w:val="0"/>
        <w:autoSpaceDN w:val="0"/>
        <w:bidi w:val="0"/>
        <w:adjustRightInd w:val="0"/>
        <w:snapToGrid w:val="0"/>
        <w:spacing w:line="240" w:lineRule="auto"/>
        <w:jc w:val="left"/>
        <w:textAlignment w:val="auto"/>
        <w:rPr>
          <w:color w:val="auto"/>
          <w:sz w:val="28"/>
          <w:szCs w:val="28"/>
          <w:highlight w:val="none"/>
        </w:rPr>
      </w:pPr>
      <w:r>
        <w:rPr>
          <w:rFonts w:hint="eastAsia" w:ascii="宋体" w:hAnsi="宋体" w:eastAsia="宋体" w:cs="宋体"/>
          <w:b/>
          <w:bCs/>
          <w:color w:val="auto"/>
          <w:kern w:val="21"/>
          <w:szCs w:val="22"/>
          <w:highlight w:val="none"/>
        </w:rPr>
        <w:t>H.2</w:t>
      </w:r>
      <w:r>
        <w:rPr>
          <w:rFonts w:hint="eastAsia" w:ascii="黑体" w:eastAsia="黑体"/>
          <w:color w:val="auto"/>
          <w:kern w:val="21"/>
          <w:szCs w:val="22"/>
          <w:highlight w:val="none"/>
        </w:rPr>
        <w:t xml:space="preserve"> </w:t>
      </w:r>
      <w:r>
        <w:rPr>
          <w:rFonts w:hint="default" w:ascii="Times New Roman" w:hAnsi="Times New Roman" w:cs="Times New Roman"/>
          <w:color w:val="auto"/>
          <w:szCs w:val="21"/>
          <w:highlight w:val="none"/>
        </w:rPr>
        <w:t>充盈度</w:t>
      </w:r>
      <w:r>
        <w:rPr>
          <w:rFonts w:hint="default" w:ascii="Times New Roman" w:hAnsi="Times New Roman" w:cs="Times New Roman"/>
          <w:i/>
          <w:iCs/>
          <w:color w:val="auto"/>
          <w:szCs w:val="21"/>
          <w:highlight w:val="none"/>
          <w:lang w:val="en-US" w:eastAsia="zh-CN"/>
        </w:rPr>
        <w:t>a</w:t>
      </w:r>
      <w:r>
        <w:rPr>
          <w:rFonts w:hint="default" w:ascii="Times New Roman" w:hAnsi="Times New Roman" w:cs="Times New Roman"/>
          <w:color w:val="auto"/>
          <w:szCs w:val="21"/>
          <w:highlight w:val="none"/>
        </w:rPr>
        <w:t>为圆形管内最大水深与暗管内径的比值，暗管排水设计中，可根据暗管的内径取值：内径为50mm时，取</w:t>
      </w:r>
      <w:r>
        <w:rPr>
          <w:rFonts w:hint="default" w:ascii="Times New Roman" w:hAnsi="Times New Roman" w:cs="Times New Roman"/>
          <w:i/>
          <w:iCs/>
          <w:color w:val="auto"/>
          <w:szCs w:val="21"/>
          <w:highlight w:val="none"/>
          <w:lang w:val="en-US" w:eastAsia="zh-CN"/>
        </w:rPr>
        <w:t>a</w:t>
      </w:r>
      <w:r>
        <w:rPr>
          <w:rFonts w:hint="default" w:ascii="Times New Roman" w:hAnsi="Times New Roman" w:cs="Times New Roman"/>
          <w:color w:val="auto"/>
          <w:szCs w:val="21"/>
          <w:highlight w:val="none"/>
          <w:lang w:val="en-US" w:eastAsia="zh-CN"/>
        </w:rPr>
        <w:t>=0.6</w:t>
      </w:r>
      <w:r>
        <w:rPr>
          <w:rFonts w:hint="default" w:ascii="Times New Roman" w:hAnsi="Times New Roman" w:cs="Times New Roman"/>
          <w:color w:val="auto"/>
          <w:szCs w:val="21"/>
          <w:highlight w:val="none"/>
        </w:rPr>
        <w:t>；内径50～100mm时，取</w:t>
      </w:r>
      <w:r>
        <w:rPr>
          <w:rFonts w:hint="default" w:ascii="Times New Roman" w:hAnsi="Times New Roman" w:cs="Times New Roman"/>
          <w:i/>
          <w:iCs/>
          <w:color w:val="auto"/>
          <w:szCs w:val="21"/>
          <w:highlight w:val="none"/>
          <w:lang w:val="en-US" w:eastAsia="zh-CN"/>
        </w:rPr>
        <w:t>a</w:t>
      </w:r>
      <w:r>
        <w:rPr>
          <w:rFonts w:hint="default" w:ascii="Times New Roman" w:hAnsi="Times New Roman" w:cs="Times New Roman"/>
          <w:color w:val="auto"/>
          <w:szCs w:val="21"/>
          <w:highlight w:val="none"/>
          <w:lang w:val="en-US" w:eastAsia="zh-CN"/>
        </w:rPr>
        <w:t>=0.8</w:t>
      </w:r>
      <w:r>
        <w:rPr>
          <w:rFonts w:hint="default" w:ascii="Times New Roman" w:hAnsi="Times New Roman" w:cs="Times New Roman"/>
          <w:color w:val="auto"/>
          <w:szCs w:val="21"/>
          <w:highlight w:val="none"/>
        </w:rPr>
        <w:t>左右；内径为100mm时，取</w:t>
      </w:r>
      <w:r>
        <w:rPr>
          <w:rFonts w:hint="default" w:ascii="Times New Roman" w:hAnsi="Times New Roman" w:cs="Times New Roman"/>
          <w:i/>
          <w:iCs/>
          <w:color w:val="auto"/>
          <w:szCs w:val="21"/>
          <w:highlight w:val="none"/>
          <w:lang w:val="en-US" w:eastAsia="zh-CN"/>
        </w:rPr>
        <w:t>a</w:t>
      </w:r>
      <w:r>
        <w:rPr>
          <w:rFonts w:hint="default" w:ascii="Times New Roman" w:hAnsi="Times New Roman" w:cs="Times New Roman"/>
          <w:color w:val="auto"/>
          <w:szCs w:val="21"/>
          <w:highlight w:val="none"/>
          <w:lang w:val="en-US" w:eastAsia="zh-CN"/>
        </w:rPr>
        <w:t>=0.8</w:t>
      </w:r>
      <w:r>
        <w:rPr>
          <w:rFonts w:hint="default" w:ascii="Times New Roman" w:hAnsi="Times New Roman" w:cs="Times New Roman"/>
          <w:color w:val="auto"/>
          <w:szCs w:val="21"/>
          <w:highlight w:val="none"/>
        </w:rPr>
        <w:t>。不同充盈度</w:t>
      </w:r>
      <w:r>
        <w:rPr>
          <w:rFonts w:hint="default" w:ascii="Times New Roman" w:hAnsi="Times New Roman" w:cs="Times New Roman"/>
          <w:i/>
          <w:iCs/>
          <w:color w:val="auto"/>
          <w:szCs w:val="21"/>
          <w:highlight w:val="none"/>
          <w:lang w:val="en-US" w:eastAsia="zh-CN"/>
        </w:rPr>
        <w:t>a</w:t>
      </w:r>
      <w:r>
        <w:rPr>
          <w:rFonts w:hint="default" w:ascii="Times New Roman" w:hAnsi="Times New Roman" w:cs="Times New Roman"/>
          <w:color w:val="auto"/>
          <w:szCs w:val="21"/>
          <w:highlight w:val="none"/>
        </w:rPr>
        <w:t>的</w:t>
      </w:r>
      <w:r>
        <w:rPr>
          <w:rFonts w:hint="default" w:ascii="Times New Roman" w:hAnsi="Times New Roman" w:cs="Times New Roman"/>
          <w:i/>
          <w:iCs/>
          <w:color w:val="auto"/>
          <w:szCs w:val="21"/>
          <w:highlight w:val="none"/>
        </w:rPr>
        <w:t>α</w:t>
      </w:r>
      <w:r>
        <w:rPr>
          <w:rFonts w:hint="default" w:ascii="Times New Roman" w:hAnsi="Times New Roman" w:cs="Times New Roman"/>
          <w:color w:val="auto"/>
          <w:szCs w:val="21"/>
          <w:highlight w:val="none"/>
        </w:rPr>
        <w:t>值和</w:t>
      </w:r>
      <w:r>
        <w:rPr>
          <w:rFonts w:hint="default" w:ascii="Times New Roman" w:hAnsi="Times New Roman" w:cs="Times New Roman"/>
          <w:i/>
          <w:iCs/>
          <w:color w:val="auto"/>
          <w:szCs w:val="21"/>
          <w:highlight w:val="none"/>
        </w:rPr>
        <w:t>β</w:t>
      </w:r>
      <w:r>
        <w:rPr>
          <w:rFonts w:hint="default" w:ascii="Times New Roman" w:hAnsi="Times New Roman" w:cs="Times New Roman"/>
          <w:color w:val="auto"/>
          <w:szCs w:val="21"/>
          <w:highlight w:val="none"/>
        </w:rPr>
        <w:t>值也可从表H.2-1中查得。</w:t>
      </w:r>
    </w:p>
    <w:p w14:paraId="5D85A83F">
      <w:pPr>
        <w:pStyle w:val="139"/>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240" w:lineRule="auto"/>
        <w:jc w:val="center"/>
        <w:textAlignment w:val="auto"/>
        <w:rPr>
          <w:rFonts w:hint="eastAsia"/>
          <w:color w:val="auto"/>
          <w:sz w:val="18"/>
          <w:szCs w:val="18"/>
          <w:highlight w:val="none"/>
        </w:rPr>
      </w:pPr>
      <w:r>
        <w:rPr>
          <w:rFonts w:hint="eastAsia"/>
          <w:color w:val="auto"/>
          <w:sz w:val="18"/>
          <w:szCs w:val="18"/>
          <w:highlight w:val="none"/>
        </w:rPr>
        <w:t>表</w:t>
      </w:r>
      <w:r>
        <w:rPr>
          <w:color w:val="auto"/>
          <w:sz w:val="18"/>
          <w:szCs w:val="18"/>
          <w:highlight w:val="none"/>
        </w:rPr>
        <w:t xml:space="preserve"> H.2-1 </w:t>
      </w:r>
      <w:r>
        <w:rPr>
          <w:rFonts w:hint="eastAsia"/>
          <w:color w:val="auto"/>
          <w:sz w:val="18"/>
          <w:szCs w:val="18"/>
          <w:highlight w:val="none"/>
        </w:rPr>
        <w:t>相应于不同充盈度</w:t>
      </w:r>
      <w:r>
        <w:rPr>
          <w:rFonts w:hint="default" w:ascii="Times New Roman" w:hAnsi="Times New Roman" w:cs="Times New Roman"/>
          <w:i/>
          <w:iCs/>
          <w:color w:val="auto"/>
          <w:sz w:val="18"/>
          <w:szCs w:val="18"/>
          <w:highlight w:val="none"/>
          <w:lang w:val="en-US" w:eastAsia="zh-CN"/>
        </w:rPr>
        <w:t>a</w:t>
      </w:r>
      <w:r>
        <w:rPr>
          <w:rFonts w:hint="eastAsia"/>
          <w:color w:val="auto"/>
          <w:sz w:val="18"/>
          <w:szCs w:val="18"/>
          <w:highlight w:val="none"/>
        </w:rPr>
        <w:t>的</w:t>
      </w:r>
      <w:r>
        <w:rPr>
          <w:rFonts w:hint="default" w:ascii="Times New Roman" w:hAnsi="Times New Roman" w:cs="Times New Roman"/>
          <w:color w:val="auto"/>
          <w:sz w:val="18"/>
          <w:szCs w:val="18"/>
          <w:highlight w:val="none"/>
        </w:rPr>
        <w:t>α</w:t>
      </w:r>
      <w:r>
        <w:rPr>
          <w:rFonts w:hint="eastAsia"/>
          <w:color w:val="auto"/>
          <w:sz w:val="18"/>
          <w:szCs w:val="18"/>
          <w:highlight w:val="none"/>
        </w:rPr>
        <w:t>値和</w:t>
      </w:r>
      <w:r>
        <w:rPr>
          <w:rFonts w:hint="default" w:ascii="Times New Roman" w:hAnsi="Times New Roman" w:cs="Times New Roman"/>
          <w:color w:val="auto"/>
          <w:sz w:val="18"/>
          <w:szCs w:val="18"/>
          <w:highlight w:val="none"/>
        </w:rPr>
        <w:t>β</w:t>
      </w:r>
      <w:r>
        <w:rPr>
          <w:rFonts w:hint="eastAsia"/>
          <w:color w:val="auto"/>
          <w:sz w:val="18"/>
          <w:szCs w:val="18"/>
          <w:highlight w:val="none"/>
        </w:rPr>
        <w:t>值</w:t>
      </w:r>
    </w:p>
    <w:tbl>
      <w:tblPr>
        <w:tblStyle w:val="34"/>
        <w:tblW w:w="94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68"/>
        <w:gridCol w:w="1189"/>
        <w:gridCol w:w="1236"/>
        <w:gridCol w:w="1294"/>
        <w:gridCol w:w="1470"/>
        <w:gridCol w:w="1243"/>
        <w:gridCol w:w="2328"/>
      </w:tblGrid>
      <w:tr w14:paraId="1E8A3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5" w:hRule="exact"/>
          <w:jc w:val="center"/>
        </w:trPr>
        <w:tc>
          <w:tcPr>
            <w:tcW w:w="668" w:type="dxa"/>
            <w:tcBorders>
              <w:top w:val="single" w:color="auto" w:sz="4" w:space="0"/>
              <w:left w:val="single" w:color="auto" w:sz="4" w:space="0"/>
              <w:bottom w:val="single" w:color="auto" w:sz="4" w:space="0"/>
              <w:right w:val="single" w:color="auto" w:sz="4" w:space="0"/>
            </w:tcBorders>
            <w:vAlign w:val="center"/>
          </w:tcPr>
          <w:p w14:paraId="3680C396">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i/>
                <w:iCs/>
                <w:color w:val="auto"/>
                <w:sz w:val="18"/>
                <w:szCs w:val="18"/>
                <w:highlight w:val="none"/>
                <w:lang w:val="en-US" w:eastAsia="zh-CN"/>
              </w:rPr>
              <w:t>a</w:t>
            </w:r>
          </w:p>
        </w:tc>
        <w:tc>
          <w:tcPr>
            <w:tcW w:w="1189" w:type="dxa"/>
            <w:tcBorders>
              <w:top w:val="single" w:color="auto" w:sz="4" w:space="0"/>
              <w:left w:val="single" w:color="auto" w:sz="4" w:space="0"/>
              <w:bottom w:val="single" w:color="auto" w:sz="4" w:space="0"/>
              <w:right w:val="single" w:color="auto" w:sz="4" w:space="0"/>
            </w:tcBorders>
            <w:vAlign w:val="center"/>
          </w:tcPr>
          <w:p w14:paraId="5CAD1D13">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0.50</w:t>
            </w:r>
          </w:p>
        </w:tc>
        <w:tc>
          <w:tcPr>
            <w:tcW w:w="1236" w:type="dxa"/>
            <w:tcBorders>
              <w:top w:val="single" w:color="auto" w:sz="4" w:space="0"/>
              <w:left w:val="single" w:color="auto" w:sz="4" w:space="0"/>
              <w:bottom w:val="single" w:color="auto" w:sz="4" w:space="0"/>
              <w:right w:val="single" w:color="auto" w:sz="4" w:space="0"/>
            </w:tcBorders>
            <w:vAlign w:val="center"/>
          </w:tcPr>
          <w:p w14:paraId="37BD11F8">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0.55</w:t>
            </w:r>
          </w:p>
        </w:tc>
        <w:tc>
          <w:tcPr>
            <w:tcW w:w="1294" w:type="dxa"/>
            <w:tcBorders>
              <w:top w:val="single" w:color="auto" w:sz="4" w:space="0"/>
              <w:left w:val="single" w:color="auto" w:sz="4" w:space="0"/>
              <w:bottom w:val="single" w:color="auto" w:sz="4" w:space="0"/>
              <w:right w:val="single" w:color="auto" w:sz="4" w:space="0"/>
            </w:tcBorders>
            <w:vAlign w:val="center"/>
          </w:tcPr>
          <w:p w14:paraId="72046057">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0.60</w:t>
            </w:r>
          </w:p>
        </w:tc>
        <w:tc>
          <w:tcPr>
            <w:tcW w:w="1470" w:type="dxa"/>
            <w:tcBorders>
              <w:top w:val="single" w:color="auto" w:sz="4" w:space="0"/>
              <w:left w:val="single" w:color="auto" w:sz="4" w:space="0"/>
              <w:bottom w:val="single" w:color="auto" w:sz="4" w:space="0"/>
              <w:right w:val="single" w:color="auto" w:sz="4" w:space="0"/>
            </w:tcBorders>
            <w:vAlign w:val="center"/>
          </w:tcPr>
          <w:p w14:paraId="02CA12A5">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0.65</w:t>
            </w:r>
          </w:p>
        </w:tc>
        <w:tc>
          <w:tcPr>
            <w:tcW w:w="1243" w:type="dxa"/>
            <w:tcBorders>
              <w:top w:val="single" w:color="auto" w:sz="4" w:space="0"/>
              <w:left w:val="single" w:color="auto" w:sz="4" w:space="0"/>
              <w:bottom w:val="single" w:color="auto" w:sz="4" w:space="0"/>
              <w:right w:val="single" w:color="auto" w:sz="4" w:space="0"/>
            </w:tcBorders>
            <w:vAlign w:val="center"/>
          </w:tcPr>
          <w:p w14:paraId="5C4889DE">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0.70</w:t>
            </w:r>
          </w:p>
        </w:tc>
        <w:tc>
          <w:tcPr>
            <w:tcW w:w="2328" w:type="dxa"/>
            <w:tcBorders>
              <w:top w:val="single" w:color="auto" w:sz="4" w:space="0"/>
              <w:left w:val="single" w:color="auto" w:sz="4" w:space="0"/>
              <w:bottom w:val="single" w:color="auto" w:sz="4" w:space="0"/>
              <w:right w:val="single" w:color="auto" w:sz="4" w:space="0"/>
            </w:tcBorders>
            <w:vAlign w:val="center"/>
          </w:tcPr>
          <w:p w14:paraId="1FCAAC1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0.75</w:t>
            </w:r>
          </w:p>
        </w:tc>
      </w:tr>
      <w:tr w14:paraId="40698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0" w:hRule="exact"/>
          <w:jc w:val="center"/>
        </w:trPr>
        <w:tc>
          <w:tcPr>
            <w:tcW w:w="668" w:type="dxa"/>
            <w:tcBorders>
              <w:top w:val="single" w:color="auto" w:sz="4" w:space="0"/>
              <w:left w:val="single" w:color="auto" w:sz="4" w:space="0"/>
              <w:bottom w:val="single" w:color="auto" w:sz="4" w:space="0"/>
              <w:right w:val="single" w:color="auto" w:sz="4" w:space="0"/>
            </w:tcBorders>
            <w:vAlign w:val="center"/>
          </w:tcPr>
          <w:p w14:paraId="702EC981">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α</w:t>
            </w:r>
          </w:p>
        </w:tc>
        <w:tc>
          <w:tcPr>
            <w:tcW w:w="1189" w:type="dxa"/>
            <w:tcBorders>
              <w:top w:val="single" w:color="auto" w:sz="4" w:space="0"/>
              <w:left w:val="single" w:color="auto" w:sz="4" w:space="0"/>
              <w:bottom w:val="single" w:color="auto" w:sz="4" w:space="0"/>
              <w:right w:val="single" w:color="auto" w:sz="4" w:space="0"/>
            </w:tcBorders>
            <w:vAlign w:val="center"/>
          </w:tcPr>
          <w:p w14:paraId="4E5199FC">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0.98954</w:t>
            </w:r>
          </w:p>
        </w:tc>
        <w:tc>
          <w:tcPr>
            <w:tcW w:w="1236" w:type="dxa"/>
            <w:tcBorders>
              <w:top w:val="single" w:color="auto" w:sz="4" w:space="0"/>
              <w:left w:val="single" w:color="auto" w:sz="4" w:space="0"/>
              <w:bottom w:val="single" w:color="auto" w:sz="4" w:space="0"/>
              <w:right w:val="single" w:color="auto" w:sz="4" w:space="0"/>
            </w:tcBorders>
            <w:vAlign w:val="center"/>
          </w:tcPr>
          <w:p w14:paraId="34E06084">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1.15917</w:t>
            </w:r>
          </w:p>
        </w:tc>
        <w:tc>
          <w:tcPr>
            <w:tcW w:w="1294" w:type="dxa"/>
            <w:tcBorders>
              <w:top w:val="single" w:color="auto" w:sz="4" w:space="0"/>
              <w:left w:val="single" w:color="auto" w:sz="4" w:space="0"/>
              <w:bottom w:val="single" w:color="auto" w:sz="4" w:space="0"/>
              <w:right w:val="single" w:color="auto" w:sz="4" w:space="0"/>
            </w:tcBorders>
            <w:vAlign w:val="center"/>
          </w:tcPr>
          <w:p w14:paraId="39646B78">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1.32962</w:t>
            </w:r>
          </w:p>
        </w:tc>
        <w:tc>
          <w:tcPr>
            <w:tcW w:w="1470" w:type="dxa"/>
            <w:tcBorders>
              <w:top w:val="single" w:color="auto" w:sz="4" w:space="0"/>
              <w:left w:val="single" w:color="auto" w:sz="4" w:space="0"/>
              <w:bottom w:val="single" w:color="auto" w:sz="4" w:space="0"/>
              <w:right w:val="single" w:color="auto" w:sz="4" w:space="0"/>
            </w:tcBorders>
            <w:vAlign w:val="center"/>
          </w:tcPr>
          <w:p w14:paraId="780B28A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1.49699</w:t>
            </w:r>
          </w:p>
        </w:tc>
        <w:tc>
          <w:tcPr>
            <w:tcW w:w="1243" w:type="dxa"/>
            <w:tcBorders>
              <w:top w:val="single" w:color="auto" w:sz="4" w:space="0"/>
              <w:left w:val="single" w:color="auto" w:sz="4" w:space="0"/>
              <w:bottom w:val="single" w:color="auto" w:sz="4" w:space="0"/>
              <w:right w:val="single" w:color="auto" w:sz="4" w:space="0"/>
            </w:tcBorders>
            <w:vAlign w:val="center"/>
          </w:tcPr>
          <w:p w14:paraId="4098DAE6">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l.65696</w:t>
            </w:r>
          </w:p>
        </w:tc>
        <w:tc>
          <w:tcPr>
            <w:tcW w:w="2328" w:type="dxa"/>
            <w:tcBorders>
              <w:top w:val="single" w:color="auto" w:sz="4" w:space="0"/>
              <w:left w:val="single" w:color="auto" w:sz="4" w:space="0"/>
              <w:bottom w:val="single" w:color="auto" w:sz="4" w:space="0"/>
              <w:right w:val="single" w:color="auto" w:sz="4" w:space="0"/>
            </w:tcBorders>
            <w:vAlign w:val="center"/>
          </w:tcPr>
          <w:p w14:paraId="134078D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1.80468</w:t>
            </w:r>
          </w:p>
        </w:tc>
      </w:tr>
      <w:tr w14:paraId="69933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9" w:hRule="exact"/>
          <w:jc w:val="center"/>
        </w:trPr>
        <w:tc>
          <w:tcPr>
            <w:tcW w:w="668" w:type="dxa"/>
            <w:tcBorders>
              <w:top w:val="single" w:color="auto" w:sz="4" w:space="0"/>
              <w:left w:val="single" w:color="auto" w:sz="4" w:space="0"/>
              <w:bottom w:val="single" w:color="auto" w:sz="4" w:space="0"/>
              <w:right w:val="single" w:color="auto" w:sz="4" w:space="0"/>
            </w:tcBorders>
            <w:vAlign w:val="center"/>
          </w:tcPr>
          <w:p w14:paraId="1A5F6D3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β</w:t>
            </w:r>
          </w:p>
        </w:tc>
        <w:tc>
          <w:tcPr>
            <w:tcW w:w="1189" w:type="dxa"/>
            <w:tcBorders>
              <w:top w:val="single" w:color="auto" w:sz="4" w:space="0"/>
              <w:left w:val="single" w:color="auto" w:sz="4" w:space="0"/>
              <w:bottom w:val="single" w:color="auto" w:sz="4" w:space="0"/>
              <w:right w:val="single" w:color="auto" w:sz="4" w:space="0"/>
            </w:tcBorders>
            <w:vAlign w:val="center"/>
          </w:tcPr>
          <w:p w14:paraId="52BC689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0.62996</w:t>
            </w:r>
          </w:p>
        </w:tc>
        <w:tc>
          <w:tcPr>
            <w:tcW w:w="1236" w:type="dxa"/>
            <w:tcBorders>
              <w:top w:val="single" w:color="auto" w:sz="4" w:space="0"/>
              <w:left w:val="single" w:color="auto" w:sz="4" w:space="0"/>
              <w:bottom w:val="single" w:color="auto" w:sz="4" w:space="0"/>
              <w:right w:val="single" w:color="auto" w:sz="4" w:space="0"/>
            </w:tcBorders>
            <w:vAlign w:val="center"/>
          </w:tcPr>
          <w:p w14:paraId="32161869">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0.65473</w:t>
            </w:r>
          </w:p>
        </w:tc>
        <w:tc>
          <w:tcPr>
            <w:tcW w:w="1294" w:type="dxa"/>
            <w:tcBorders>
              <w:top w:val="single" w:color="auto" w:sz="4" w:space="0"/>
              <w:left w:val="single" w:color="auto" w:sz="4" w:space="0"/>
              <w:bottom w:val="single" w:color="auto" w:sz="4" w:space="0"/>
              <w:right w:val="single" w:color="auto" w:sz="4" w:space="0"/>
            </w:tcBorders>
            <w:vAlign w:val="center"/>
          </w:tcPr>
          <w:p w14:paraId="315939B1">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0.67558</w:t>
            </w:r>
          </w:p>
        </w:tc>
        <w:tc>
          <w:tcPr>
            <w:tcW w:w="1470" w:type="dxa"/>
            <w:tcBorders>
              <w:top w:val="single" w:color="auto" w:sz="4" w:space="0"/>
              <w:left w:val="single" w:color="auto" w:sz="4" w:space="0"/>
              <w:bottom w:val="single" w:color="auto" w:sz="4" w:space="0"/>
              <w:right w:val="single" w:color="auto" w:sz="4" w:space="0"/>
            </w:tcBorders>
            <w:vAlign w:val="center"/>
          </w:tcPr>
          <w:p w14:paraId="7F1635B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0.69251</w:t>
            </w:r>
          </w:p>
        </w:tc>
        <w:tc>
          <w:tcPr>
            <w:tcW w:w="1243" w:type="dxa"/>
            <w:tcBorders>
              <w:top w:val="single" w:color="auto" w:sz="4" w:space="0"/>
              <w:left w:val="single" w:color="auto" w:sz="4" w:space="0"/>
              <w:bottom w:val="single" w:color="auto" w:sz="4" w:space="0"/>
              <w:right w:val="single" w:color="auto" w:sz="4" w:space="0"/>
            </w:tcBorders>
            <w:vAlign w:val="center"/>
          </w:tcPr>
          <w:p w14:paraId="1267742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0.70541</w:t>
            </w:r>
          </w:p>
        </w:tc>
        <w:tc>
          <w:tcPr>
            <w:tcW w:w="2328" w:type="dxa"/>
            <w:tcBorders>
              <w:top w:val="single" w:color="auto" w:sz="4" w:space="0"/>
              <w:left w:val="single" w:color="auto" w:sz="4" w:space="0"/>
              <w:bottom w:val="single" w:color="auto" w:sz="4" w:space="0"/>
              <w:right w:val="single" w:color="auto" w:sz="4" w:space="0"/>
            </w:tcBorders>
            <w:vAlign w:val="center"/>
          </w:tcPr>
          <w:p w14:paraId="1594818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0.71404</w:t>
            </w:r>
          </w:p>
        </w:tc>
      </w:tr>
      <w:tr w14:paraId="7994F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5" w:hRule="exact"/>
          <w:jc w:val="center"/>
        </w:trPr>
        <w:tc>
          <w:tcPr>
            <w:tcW w:w="668" w:type="dxa"/>
            <w:tcBorders>
              <w:top w:val="single" w:color="auto" w:sz="4" w:space="0"/>
              <w:left w:val="single" w:color="auto" w:sz="4" w:space="0"/>
              <w:bottom w:val="single" w:color="auto" w:sz="4" w:space="0"/>
              <w:right w:val="single" w:color="auto" w:sz="4" w:space="0"/>
            </w:tcBorders>
            <w:vAlign w:val="center"/>
          </w:tcPr>
          <w:p w14:paraId="026EDC20">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宋体" w:cs="Times New Roman"/>
                <w:i/>
                <w:iCs/>
                <w:color w:val="auto"/>
                <w:sz w:val="18"/>
                <w:szCs w:val="18"/>
                <w:highlight w:val="none"/>
                <w:lang w:val="en-US" w:eastAsia="zh-CN"/>
              </w:rPr>
              <w:t>a</w:t>
            </w:r>
          </w:p>
        </w:tc>
        <w:tc>
          <w:tcPr>
            <w:tcW w:w="1189" w:type="dxa"/>
            <w:tcBorders>
              <w:top w:val="single" w:color="auto" w:sz="4" w:space="0"/>
              <w:left w:val="single" w:color="auto" w:sz="4" w:space="0"/>
              <w:bottom w:val="single" w:color="auto" w:sz="4" w:space="0"/>
              <w:right w:val="single" w:color="auto" w:sz="4" w:space="0"/>
            </w:tcBorders>
            <w:vAlign w:val="center"/>
          </w:tcPr>
          <w:p w14:paraId="2F526D5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0.80</w:t>
            </w:r>
          </w:p>
        </w:tc>
        <w:tc>
          <w:tcPr>
            <w:tcW w:w="1236" w:type="dxa"/>
            <w:tcBorders>
              <w:top w:val="single" w:color="auto" w:sz="4" w:space="0"/>
              <w:left w:val="single" w:color="auto" w:sz="4" w:space="0"/>
              <w:bottom w:val="single" w:color="auto" w:sz="4" w:space="0"/>
              <w:right w:val="single" w:color="auto" w:sz="4" w:space="0"/>
            </w:tcBorders>
            <w:vAlign w:val="center"/>
          </w:tcPr>
          <w:p w14:paraId="2767BFD6">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0.85</w:t>
            </w:r>
          </w:p>
        </w:tc>
        <w:tc>
          <w:tcPr>
            <w:tcW w:w="1294" w:type="dxa"/>
            <w:tcBorders>
              <w:top w:val="single" w:color="auto" w:sz="4" w:space="0"/>
              <w:left w:val="single" w:color="auto" w:sz="4" w:space="0"/>
              <w:bottom w:val="single" w:color="auto" w:sz="4" w:space="0"/>
              <w:right w:val="single" w:color="auto" w:sz="4" w:space="0"/>
            </w:tcBorders>
            <w:vAlign w:val="center"/>
          </w:tcPr>
          <w:p w14:paraId="312F6E1C">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0.90</w:t>
            </w:r>
          </w:p>
        </w:tc>
        <w:tc>
          <w:tcPr>
            <w:tcW w:w="1470" w:type="dxa"/>
            <w:tcBorders>
              <w:top w:val="single" w:color="auto" w:sz="4" w:space="0"/>
              <w:left w:val="single" w:color="auto" w:sz="4" w:space="0"/>
              <w:bottom w:val="single" w:color="auto" w:sz="4" w:space="0"/>
              <w:right w:val="single" w:color="auto" w:sz="4" w:space="0"/>
            </w:tcBorders>
            <w:vAlign w:val="center"/>
          </w:tcPr>
          <w:p w14:paraId="11651A79">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0.95</w:t>
            </w:r>
          </w:p>
        </w:tc>
        <w:tc>
          <w:tcPr>
            <w:tcW w:w="1243" w:type="dxa"/>
            <w:tcBorders>
              <w:top w:val="single" w:color="auto" w:sz="4" w:space="0"/>
              <w:left w:val="single" w:color="auto" w:sz="4" w:space="0"/>
              <w:bottom w:val="single" w:color="auto" w:sz="4" w:space="0"/>
              <w:right w:val="single" w:color="auto" w:sz="4" w:space="0"/>
            </w:tcBorders>
            <w:vAlign w:val="center"/>
          </w:tcPr>
          <w:p w14:paraId="36DB1315">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1.00</w:t>
            </w:r>
          </w:p>
        </w:tc>
        <w:tc>
          <w:tcPr>
            <w:tcW w:w="2328" w:type="dxa"/>
            <w:tcBorders>
              <w:top w:val="single" w:color="auto" w:sz="4" w:space="0"/>
              <w:left w:val="single" w:color="auto" w:sz="4" w:space="0"/>
              <w:bottom w:val="single" w:color="auto" w:sz="4" w:space="0"/>
              <w:right w:val="single" w:color="auto" w:sz="4" w:space="0"/>
            </w:tcBorders>
            <w:vAlign w:val="center"/>
          </w:tcPr>
          <w:p w14:paraId="556A9B73">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备注</w:t>
            </w:r>
          </w:p>
        </w:tc>
      </w:tr>
      <w:tr w14:paraId="0829B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2" w:hRule="exact"/>
          <w:jc w:val="center"/>
        </w:trPr>
        <w:tc>
          <w:tcPr>
            <w:tcW w:w="668" w:type="dxa"/>
            <w:tcBorders>
              <w:top w:val="single" w:color="auto" w:sz="4" w:space="0"/>
              <w:left w:val="single" w:color="auto" w:sz="4" w:space="0"/>
              <w:bottom w:val="single" w:color="auto" w:sz="4" w:space="0"/>
              <w:right w:val="single" w:color="auto" w:sz="4" w:space="0"/>
            </w:tcBorders>
            <w:vAlign w:val="center"/>
          </w:tcPr>
          <w:p w14:paraId="46745DCE">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α</w:t>
            </w:r>
          </w:p>
        </w:tc>
        <w:tc>
          <w:tcPr>
            <w:tcW w:w="1189" w:type="dxa"/>
            <w:tcBorders>
              <w:top w:val="single" w:color="auto" w:sz="4" w:space="0"/>
              <w:left w:val="single" w:color="auto" w:sz="4" w:space="0"/>
              <w:bottom w:val="single" w:color="auto" w:sz="4" w:space="0"/>
              <w:right w:val="single" w:color="auto" w:sz="4" w:space="0"/>
            </w:tcBorders>
            <w:vAlign w:val="center"/>
          </w:tcPr>
          <w:p w14:paraId="3C0B50DE">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l.93448</w:t>
            </w:r>
          </w:p>
        </w:tc>
        <w:tc>
          <w:tcPr>
            <w:tcW w:w="1236" w:type="dxa"/>
            <w:tcBorders>
              <w:top w:val="single" w:color="auto" w:sz="4" w:space="0"/>
              <w:left w:val="single" w:color="auto" w:sz="4" w:space="0"/>
              <w:bottom w:val="single" w:color="auto" w:sz="4" w:space="0"/>
              <w:right w:val="single" w:color="auto" w:sz="4" w:space="0"/>
            </w:tcBorders>
            <w:vAlign w:val="center"/>
          </w:tcPr>
          <w:p w14:paraId="3DDC636A">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2.03932</w:t>
            </w:r>
          </w:p>
        </w:tc>
        <w:tc>
          <w:tcPr>
            <w:tcW w:w="1294" w:type="dxa"/>
            <w:tcBorders>
              <w:top w:val="single" w:color="auto" w:sz="4" w:space="0"/>
              <w:left w:val="single" w:color="auto" w:sz="4" w:space="0"/>
              <w:bottom w:val="single" w:color="auto" w:sz="4" w:space="0"/>
              <w:right w:val="single" w:color="auto" w:sz="4" w:space="0"/>
            </w:tcBorders>
            <w:vAlign w:val="center"/>
          </w:tcPr>
          <w:p w14:paraId="0AE55183">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2.10929</w:t>
            </w:r>
          </w:p>
        </w:tc>
        <w:tc>
          <w:tcPr>
            <w:tcW w:w="1470" w:type="dxa"/>
            <w:tcBorders>
              <w:top w:val="single" w:color="auto" w:sz="4" w:space="0"/>
              <w:left w:val="single" w:color="auto" w:sz="4" w:space="0"/>
              <w:bottom w:val="single" w:color="auto" w:sz="4" w:space="0"/>
              <w:right w:val="single" w:color="auto" w:sz="4" w:space="0"/>
            </w:tcBorders>
            <w:vAlign w:val="center"/>
          </w:tcPr>
          <w:p w14:paraId="6B3A52E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2.12655</w:t>
            </w:r>
          </w:p>
        </w:tc>
        <w:tc>
          <w:tcPr>
            <w:tcW w:w="1243" w:type="dxa"/>
            <w:tcBorders>
              <w:top w:val="single" w:color="auto" w:sz="4" w:space="0"/>
              <w:left w:val="single" w:color="auto" w:sz="4" w:space="0"/>
              <w:bottom w:val="single" w:color="auto" w:sz="4" w:space="0"/>
              <w:right w:val="single" w:color="auto" w:sz="4" w:space="0"/>
            </w:tcBorders>
            <w:vAlign w:val="center"/>
          </w:tcPr>
          <w:p w14:paraId="5656E204">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1.97907</w:t>
            </w:r>
          </w:p>
        </w:tc>
        <w:tc>
          <w:tcPr>
            <w:tcW w:w="2328" w:type="dxa"/>
            <w:tcBorders>
              <w:top w:val="single" w:color="auto" w:sz="4" w:space="0"/>
              <w:left w:val="single" w:color="auto" w:sz="4" w:space="0"/>
              <w:bottom w:val="single" w:color="auto" w:sz="4" w:space="0"/>
              <w:right w:val="single" w:color="auto" w:sz="4" w:space="0"/>
            </w:tcBorders>
            <w:vAlign w:val="center"/>
          </w:tcPr>
          <w:p w14:paraId="11F7D782">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用于式（6.3-3）</w:t>
            </w:r>
          </w:p>
        </w:tc>
      </w:tr>
      <w:tr w14:paraId="2DB44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3" w:hRule="exact"/>
          <w:jc w:val="center"/>
        </w:trPr>
        <w:tc>
          <w:tcPr>
            <w:tcW w:w="668" w:type="dxa"/>
            <w:tcBorders>
              <w:top w:val="single" w:color="auto" w:sz="4" w:space="0"/>
              <w:left w:val="single" w:color="auto" w:sz="4" w:space="0"/>
              <w:bottom w:val="single" w:color="auto" w:sz="4" w:space="0"/>
              <w:right w:val="single" w:color="auto" w:sz="4" w:space="0"/>
            </w:tcBorders>
            <w:vAlign w:val="center"/>
          </w:tcPr>
          <w:p w14:paraId="749D806B">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β</w:t>
            </w:r>
          </w:p>
        </w:tc>
        <w:tc>
          <w:tcPr>
            <w:tcW w:w="1189" w:type="dxa"/>
            <w:tcBorders>
              <w:top w:val="single" w:color="auto" w:sz="4" w:space="0"/>
              <w:left w:val="single" w:color="auto" w:sz="4" w:space="0"/>
              <w:bottom w:val="single" w:color="auto" w:sz="4" w:space="0"/>
              <w:right w:val="single" w:color="auto" w:sz="4" w:space="0"/>
            </w:tcBorders>
            <w:vAlign w:val="center"/>
          </w:tcPr>
          <w:p w14:paraId="5F014076">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0.71799</w:t>
            </w:r>
          </w:p>
        </w:tc>
        <w:tc>
          <w:tcPr>
            <w:tcW w:w="1236" w:type="dxa"/>
            <w:tcBorders>
              <w:top w:val="single" w:color="auto" w:sz="4" w:space="0"/>
              <w:left w:val="single" w:color="auto" w:sz="4" w:space="0"/>
              <w:bottom w:val="single" w:color="auto" w:sz="4" w:space="0"/>
              <w:right w:val="single" w:color="auto" w:sz="4" w:space="0"/>
            </w:tcBorders>
            <w:vAlign w:val="center"/>
          </w:tcPr>
          <w:p w14:paraId="6A0E9F7D">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0.71653</w:t>
            </w:r>
          </w:p>
        </w:tc>
        <w:tc>
          <w:tcPr>
            <w:tcW w:w="1294" w:type="dxa"/>
            <w:tcBorders>
              <w:top w:val="single" w:color="auto" w:sz="4" w:space="0"/>
              <w:left w:val="single" w:color="auto" w:sz="4" w:space="0"/>
              <w:bottom w:val="single" w:color="auto" w:sz="4" w:space="0"/>
              <w:right w:val="single" w:color="auto" w:sz="4" w:space="0"/>
            </w:tcBorders>
            <w:vAlign w:val="center"/>
          </w:tcPr>
          <w:p w14:paraId="496BD57F">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0.70327</w:t>
            </w:r>
          </w:p>
        </w:tc>
        <w:tc>
          <w:tcPr>
            <w:tcW w:w="1470" w:type="dxa"/>
            <w:tcBorders>
              <w:top w:val="single" w:color="auto" w:sz="4" w:space="0"/>
              <w:left w:val="single" w:color="auto" w:sz="4" w:space="0"/>
              <w:bottom w:val="single" w:color="auto" w:sz="4" w:space="0"/>
              <w:right w:val="single" w:color="auto" w:sz="4" w:space="0"/>
            </w:tcBorders>
            <w:vAlign w:val="center"/>
          </w:tcPr>
          <w:p w14:paraId="16CBE4FF">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0.68980</w:t>
            </w:r>
          </w:p>
        </w:tc>
        <w:tc>
          <w:tcPr>
            <w:tcW w:w="1243" w:type="dxa"/>
            <w:tcBorders>
              <w:top w:val="single" w:color="auto" w:sz="4" w:space="0"/>
              <w:left w:val="single" w:color="auto" w:sz="4" w:space="0"/>
              <w:bottom w:val="single" w:color="auto" w:sz="4" w:space="0"/>
              <w:right w:val="single" w:color="auto" w:sz="4" w:space="0"/>
            </w:tcBorders>
            <w:vAlign w:val="center"/>
          </w:tcPr>
          <w:p w14:paraId="640A2FE9">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0.62996</w:t>
            </w:r>
          </w:p>
        </w:tc>
        <w:tc>
          <w:tcPr>
            <w:tcW w:w="2328" w:type="dxa"/>
            <w:tcBorders>
              <w:top w:val="single" w:color="auto" w:sz="4" w:space="0"/>
              <w:left w:val="single" w:color="auto" w:sz="4" w:space="0"/>
              <w:bottom w:val="single" w:color="auto" w:sz="4" w:space="0"/>
              <w:right w:val="single" w:color="auto" w:sz="4" w:space="0"/>
            </w:tcBorders>
            <w:vAlign w:val="center"/>
          </w:tcPr>
          <w:p w14:paraId="7D505CB4">
            <w:pPr>
              <w:keepNext w:val="0"/>
              <w:keepLines w:val="0"/>
              <w:pageBreakBefore w:val="0"/>
              <w:widowControl w:val="0"/>
              <w:kinsoku/>
              <w:wordWrap/>
              <w:overflowPunct/>
              <w:topLinePunct w:val="0"/>
              <w:autoSpaceDE/>
              <w:autoSpaceDN/>
              <w:bidi w:val="0"/>
              <w:adjustRightInd/>
              <w:snapToGrid/>
              <w:jc w:val="center"/>
              <w:textAlignment w:val="auto"/>
              <w:rPr>
                <w:rFonts w:hint="default" w:ascii="Times New Roman" w:hAnsi="Times New Roman" w:eastAsia="宋体" w:cs="Times New Roman"/>
                <w:color w:val="auto"/>
                <w:sz w:val="18"/>
                <w:szCs w:val="18"/>
                <w:highlight w:val="none"/>
              </w:rPr>
            </w:pPr>
            <w:r>
              <w:rPr>
                <w:rFonts w:hint="default" w:ascii="Times New Roman" w:hAnsi="Times New Roman" w:eastAsia="宋体" w:cs="Times New Roman"/>
                <w:color w:val="auto"/>
                <w:sz w:val="18"/>
                <w:szCs w:val="18"/>
                <w:highlight w:val="none"/>
              </w:rPr>
              <w:t>用于式（6.3-4）</w:t>
            </w:r>
          </w:p>
        </w:tc>
      </w:tr>
    </w:tbl>
    <w:p w14:paraId="336EC390">
      <w:pPr>
        <w:rPr>
          <w:color w:val="auto"/>
          <w:highlight w:val="none"/>
        </w:rPr>
      </w:pPr>
    </w:p>
    <w:p w14:paraId="267BCD77">
      <w:pPr>
        <w:rPr>
          <w:color w:val="auto"/>
          <w:highlight w:val="none"/>
        </w:rPr>
      </w:pPr>
    </w:p>
    <w:p w14:paraId="18433359">
      <w:pPr>
        <w:rPr>
          <w:color w:val="auto"/>
          <w:highlight w:val="none"/>
        </w:rPr>
      </w:pPr>
    </w:p>
    <w:p w14:paraId="3A1AB98B">
      <w:pPr>
        <w:rPr>
          <w:color w:val="auto"/>
          <w:highlight w:val="none"/>
        </w:rPr>
      </w:pPr>
    </w:p>
    <w:p w14:paraId="2CCFBB4D">
      <w:pPr>
        <w:rPr>
          <w:rFonts w:hint="eastAsia"/>
          <w:color w:val="auto"/>
          <w:highlight w:val="none"/>
        </w:rPr>
      </w:pPr>
    </w:p>
    <w:p w14:paraId="23430C45">
      <w:pPr>
        <w:rPr>
          <w:rFonts w:hint="eastAsia"/>
          <w:color w:val="auto"/>
          <w:highlight w:val="none"/>
        </w:rPr>
      </w:pPr>
    </w:p>
    <w:p w14:paraId="46266134">
      <w:pPr>
        <w:rPr>
          <w:rFonts w:hint="eastAsia"/>
          <w:color w:val="auto"/>
          <w:highlight w:val="none"/>
        </w:rPr>
      </w:pPr>
    </w:p>
    <w:p w14:paraId="04D661C5">
      <w:pPr>
        <w:rPr>
          <w:rFonts w:hint="eastAsia"/>
          <w:color w:val="auto"/>
          <w:highlight w:val="none"/>
        </w:rPr>
      </w:pPr>
    </w:p>
    <w:p w14:paraId="366CE873">
      <w:pPr>
        <w:rPr>
          <w:rFonts w:hint="eastAsia"/>
          <w:color w:val="auto"/>
          <w:highlight w:val="none"/>
        </w:rPr>
      </w:pPr>
    </w:p>
    <w:p w14:paraId="4C690232">
      <w:pPr>
        <w:rPr>
          <w:rFonts w:hint="eastAsia"/>
          <w:color w:val="auto"/>
          <w:highlight w:val="none"/>
        </w:rPr>
      </w:pPr>
    </w:p>
    <w:p w14:paraId="79758589">
      <w:pPr>
        <w:rPr>
          <w:rFonts w:hint="eastAsia"/>
          <w:color w:val="auto"/>
          <w:highlight w:val="none"/>
        </w:rPr>
      </w:pPr>
    </w:p>
    <w:p w14:paraId="75E35FF5">
      <w:pPr>
        <w:rPr>
          <w:rFonts w:hint="eastAsia"/>
          <w:color w:val="auto"/>
          <w:highlight w:val="none"/>
        </w:rPr>
      </w:pPr>
    </w:p>
    <w:p w14:paraId="57EE2AC1">
      <w:pPr>
        <w:rPr>
          <w:rFonts w:hint="eastAsia"/>
          <w:color w:val="auto"/>
          <w:highlight w:val="none"/>
        </w:rPr>
      </w:pPr>
    </w:p>
    <w:p w14:paraId="135A5668">
      <w:pPr>
        <w:rPr>
          <w:rFonts w:hint="eastAsia"/>
          <w:color w:val="auto"/>
          <w:highlight w:val="none"/>
        </w:rPr>
      </w:pPr>
    </w:p>
    <w:p w14:paraId="76B470A5">
      <w:pPr>
        <w:rPr>
          <w:rFonts w:hint="eastAsia"/>
          <w:color w:val="auto"/>
          <w:highlight w:val="none"/>
        </w:rPr>
      </w:pPr>
    </w:p>
    <w:p w14:paraId="50A497D8">
      <w:pPr>
        <w:rPr>
          <w:rFonts w:hint="eastAsia"/>
          <w:color w:val="auto"/>
          <w:highlight w:val="none"/>
        </w:rPr>
      </w:pPr>
    </w:p>
    <w:p w14:paraId="06691593">
      <w:pPr>
        <w:pStyle w:val="75"/>
        <w:rPr>
          <w:rFonts w:hint="eastAsia"/>
          <w:color w:val="auto"/>
          <w:highlight w:val="none"/>
        </w:rPr>
      </w:pPr>
      <w:r>
        <w:rPr>
          <w:color w:val="auto"/>
          <w:highlight w:val="none"/>
        </w:rPr>
        <w:br w:type="textWrapping"/>
      </w:r>
      <w:bookmarkStart w:id="427" w:name="_Toc299889798"/>
      <w:bookmarkStart w:id="428" w:name="_Toc522140528"/>
      <w:bookmarkStart w:id="429" w:name="_Toc520823500"/>
      <w:r>
        <w:rPr>
          <w:rFonts w:hint="eastAsia"/>
          <w:color w:val="auto"/>
          <w:highlight w:val="none"/>
        </w:rPr>
        <w:t>（资料性附录）</w:t>
      </w:r>
      <w:r>
        <w:rPr>
          <w:color w:val="auto"/>
          <w:highlight w:val="none"/>
        </w:rPr>
        <w:br w:type="textWrapping"/>
      </w:r>
      <w:bookmarkEnd w:id="427"/>
      <w:bookmarkEnd w:id="428"/>
      <w:bookmarkEnd w:id="429"/>
      <w:r>
        <w:rPr>
          <w:rFonts w:hint="eastAsia" w:hAnsi="Times New Roman" w:cs="Times New Roman"/>
          <w:color w:val="auto"/>
          <w:highlight w:val="none"/>
        </w:rPr>
        <w:t>土壤淤积倾向判别方法与标准</w:t>
      </w:r>
    </w:p>
    <w:p w14:paraId="4F9A1A7A">
      <w:pPr>
        <w:pStyle w:val="25"/>
        <w:keepNext w:val="0"/>
        <w:keepLines w:val="0"/>
        <w:pageBreakBefore w:val="0"/>
        <w:widowControl/>
        <w:kinsoku/>
        <w:wordWrap/>
        <w:overflowPunct/>
        <w:topLinePunct w:val="0"/>
        <w:bidi w:val="0"/>
        <w:spacing w:line="240" w:lineRule="auto"/>
        <w:ind w:left="0" w:leftChars="0" w:firstLine="0" w:firstLineChars="0"/>
        <w:textAlignment w:val="center"/>
        <w:rPr>
          <w:rFonts w:hint="default" w:ascii="Times New Roman" w:hAnsi="Times New Roman" w:eastAsia="宋体" w:cs="Times New Roman"/>
          <w:color w:val="auto"/>
          <w:sz w:val="21"/>
          <w:szCs w:val="21"/>
          <w:highlight w:val="none"/>
        </w:rPr>
      </w:pPr>
      <w:r>
        <w:rPr>
          <w:rFonts w:hint="eastAsia" w:ascii="宋体" w:hAnsi="宋体" w:eastAsia="宋体" w:cs="宋体"/>
          <w:b/>
          <w:bCs/>
          <w:color w:val="auto"/>
          <w:sz w:val="21"/>
          <w:szCs w:val="21"/>
          <w:highlight w:val="none"/>
          <w:lang w:val="en-US" w:eastAsia="zh-CN"/>
        </w:rPr>
        <w:t xml:space="preserve">I.1 </w:t>
      </w:r>
      <w:r>
        <w:rPr>
          <w:rFonts w:hint="default" w:ascii="Times New Roman" w:hAnsi="Times New Roman" w:eastAsia="宋体" w:cs="Times New Roman"/>
          <w:color w:val="auto"/>
          <w:sz w:val="21"/>
          <w:szCs w:val="21"/>
          <w:highlight w:val="none"/>
        </w:rPr>
        <w:t>判断土壤淤积倾向有以下几种方法：</w:t>
      </w:r>
    </w:p>
    <w:p w14:paraId="428B7B87">
      <w:pPr>
        <w:pStyle w:val="85"/>
        <w:keepNext w:val="0"/>
        <w:keepLines w:val="0"/>
        <w:pageBreakBefore w:val="0"/>
        <w:widowControl/>
        <w:numPr>
          <w:ilvl w:val="0"/>
          <w:numId w:val="0"/>
        </w:numPr>
        <w:tabs>
          <w:tab w:val="clear" w:pos="845"/>
        </w:tabs>
        <w:kinsoku/>
        <w:wordWrap/>
        <w:overflowPunct/>
        <w:topLinePunct w:val="0"/>
        <w:bidi w:val="0"/>
        <w:spacing w:line="240" w:lineRule="auto"/>
        <w:ind w:firstLine="420" w:firstLineChars="200"/>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粒径均匀系数（</w:t>
      </w:r>
      <w:r>
        <w:rPr>
          <w:rFonts w:hint="default" w:ascii="Times New Roman" w:hAnsi="Times New Roman" w:eastAsia="宋体" w:cs="Times New Roman"/>
          <w:i/>
          <w:iCs/>
          <w:color w:val="auto"/>
          <w:sz w:val="21"/>
          <w:szCs w:val="21"/>
          <w:highlight w:val="none"/>
          <w:lang w:val="en-US" w:eastAsia="zh-CN"/>
        </w:rPr>
        <w:t>U</w:t>
      </w:r>
      <w:r>
        <w:rPr>
          <w:rFonts w:hint="default" w:ascii="Times New Roman" w:hAnsi="Times New Roman" w:eastAsia="宋体" w:cs="Times New Roman"/>
          <w:color w:val="auto"/>
          <w:sz w:val="21"/>
          <w:szCs w:val="21"/>
          <w:highlight w:val="none"/>
          <w:lang w:val="en-US" w:eastAsia="zh-CN"/>
        </w:rPr>
        <w:t>=d</w:t>
      </w:r>
      <w:r>
        <w:rPr>
          <w:rFonts w:hint="default" w:ascii="Times New Roman" w:hAnsi="Times New Roman" w:eastAsia="宋体" w:cs="Times New Roman"/>
          <w:color w:val="auto"/>
          <w:sz w:val="21"/>
          <w:szCs w:val="21"/>
          <w:highlight w:val="none"/>
          <w:vertAlign w:val="subscript"/>
          <w:lang w:val="en-US" w:eastAsia="zh-CN"/>
        </w:rPr>
        <w:t>60</w:t>
      </w:r>
      <w:r>
        <w:rPr>
          <w:rFonts w:hint="default" w:ascii="Times New Roman" w:hAnsi="Times New Roman" w:eastAsia="宋体" w:cs="Times New Roman"/>
          <w:color w:val="auto"/>
          <w:sz w:val="21"/>
          <w:szCs w:val="21"/>
          <w:highlight w:val="none"/>
          <w:lang w:val="en-US" w:eastAsia="zh-CN"/>
        </w:rPr>
        <w:t>/d</w:t>
      </w:r>
      <w:r>
        <w:rPr>
          <w:rFonts w:hint="default" w:ascii="Times New Roman" w:hAnsi="Times New Roman" w:eastAsia="宋体" w:cs="Times New Roman"/>
          <w:color w:val="auto"/>
          <w:sz w:val="21"/>
          <w:szCs w:val="21"/>
          <w:highlight w:val="none"/>
          <w:vertAlign w:val="subscript"/>
          <w:lang w:val="en-US" w:eastAsia="zh-CN"/>
        </w:rPr>
        <w:t>10</w:t>
      </w:r>
      <w:r>
        <w:rPr>
          <w:rFonts w:hint="default" w:ascii="Times New Roman" w:hAnsi="Times New Roman" w:eastAsia="宋体" w:cs="Times New Roman"/>
          <w:color w:val="auto"/>
          <w:sz w:val="21"/>
          <w:szCs w:val="21"/>
          <w:highlight w:val="none"/>
        </w:rPr>
        <w:t>）法：</w:t>
      </w:r>
      <w:r>
        <w:rPr>
          <w:rFonts w:hint="default" w:ascii="Times New Roman" w:hAnsi="Times New Roman" w:eastAsia="宋体" w:cs="Times New Roman"/>
          <w:i/>
          <w:iCs/>
          <w:color w:val="auto"/>
          <w:sz w:val="21"/>
          <w:szCs w:val="21"/>
          <w:highlight w:val="none"/>
          <w:lang w:val="en-US" w:eastAsia="zh-CN"/>
        </w:rPr>
        <w:t>U</w:t>
      </w:r>
      <w:r>
        <w:rPr>
          <w:rFonts w:hint="default" w:ascii="Times New Roman" w:hAnsi="Times New Roman" w:eastAsia="宋体" w:cs="Times New Roman"/>
          <w:color w:val="auto"/>
          <w:sz w:val="21"/>
          <w:szCs w:val="21"/>
          <w:highlight w:val="none"/>
          <w:lang w:val="en-US" w:eastAsia="zh-CN"/>
        </w:rPr>
        <w:t>&gt;15</w:t>
      </w:r>
      <w:r>
        <w:rPr>
          <w:rFonts w:hint="default" w:ascii="Times New Roman" w:hAnsi="Times New Roman" w:eastAsia="宋体" w:cs="Times New Roman"/>
          <w:color w:val="auto"/>
          <w:sz w:val="21"/>
          <w:szCs w:val="21"/>
          <w:highlight w:val="none"/>
        </w:rPr>
        <w:t>为无淤积倾向，</w:t>
      </w:r>
      <w:r>
        <w:rPr>
          <w:rFonts w:hint="default" w:ascii="Times New Roman" w:hAnsi="Times New Roman" w:eastAsia="宋体" w:cs="Times New Roman"/>
          <w:i/>
          <w:iCs/>
          <w:color w:val="auto"/>
          <w:sz w:val="21"/>
          <w:szCs w:val="21"/>
          <w:highlight w:val="none"/>
          <w:lang w:val="en-US" w:eastAsia="zh-CN"/>
        </w:rPr>
        <w:t>U</w:t>
      </w:r>
      <w:r>
        <w:rPr>
          <w:rFonts w:hint="default" w:ascii="Times New Roman" w:hAnsi="Times New Roman" w:eastAsia="宋体" w:cs="Times New Roman"/>
          <w:color w:val="auto"/>
          <w:sz w:val="21"/>
          <w:szCs w:val="21"/>
          <w:highlight w:val="none"/>
          <w:lang w:val="en-US" w:eastAsia="zh-CN"/>
        </w:rPr>
        <w:t>=5~15</w:t>
      </w:r>
      <w:r>
        <w:rPr>
          <w:rFonts w:hint="default" w:ascii="Times New Roman" w:hAnsi="Times New Roman" w:eastAsia="宋体" w:cs="Times New Roman"/>
          <w:color w:val="auto"/>
          <w:sz w:val="21"/>
          <w:szCs w:val="21"/>
          <w:highlight w:val="none"/>
        </w:rPr>
        <w:t>为一般的淤积倾向，</w:t>
      </w:r>
      <w:r>
        <w:rPr>
          <w:rFonts w:hint="default" w:ascii="Times New Roman" w:hAnsi="Times New Roman" w:eastAsia="宋体" w:cs="Times New Roman"/>
          <w:i/>
          <w:iCs/>
          <w:color w:val="auto"/>
          <w:sz w:val="21"/>
          <w:szCs w:val="21"/>
          <w:highlight w:val="none"/>
          <w:lang w:val="en-US" w:eastAsia="zh-CN"/>
        </w:rPr>
        <w:t>U</w:t>
      </w:r>
      <w:r>
        <w:rPr>
          <w:rFonts w:hint="default" w:ascii="Times New Roman" w:hAnsi="Times New Roman" w:eastAsia="宋体" w:cs="Times New Roman"/>
          <w:color w:val="auto"/>
          <w:sz w:val="21"/>
          <w:szCs w:val="21"/>
          <w:highlight w:val="none"/>
          <w:lang w:val="en-US" w:eastAsia="zh-CN"/>
        </w:rPr>
        <w:t>&lt;5</w:t>
      </w:r>
      <w:r>
        <w:rPr>
          <w:rFonts w:hint="default" w:ascii="Times New Roman" w:hAnsi="Times New Roman" w:eastAsia="宋体" w:cs="Times New Roman"/>
          <w:color w:val="auto"/>
          <w:sz w:val="21"/>
          <w:szCs w:val="21"/>
          <w:highlight w:val="none"/>
        </w:rPr>
        <w:t>为较高的淤积倾向；</w:t>
      </w:r>
    </w:p>
    <w:p w14:paraId="38FB1E0F">
      <w:pPr>
        <w:pStyle w:val="85"/>
        <w:keepNext w:val="0"/>
        <w:keepLines w:val="0"/>
        <w:pageBreakBefore w:val="0"/>
        <w:widowControl/>
        <w:numPr>
          <w:ilvl w:val="0"/>
          <w:numId w:val="0"/>
        </w:numPr>
        <w:tabs>
          <w:tab w:val="clear" w:pos="845"/>
        </w:tabs>
        <w:kinsoku/>
        <w:wordWrap/>
        <w:overflowPunct/>
        <w:topLinePunct w:val="0"/>
        <w:bidi w:val="0"/>
        <w:spacing w:line="240" w:lineRule="auto"/>
        <w:ind w:firstLine="420" w:firstLineChars="200"/>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2</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塑性指数（</w:t>
      </w:r>
      <w:r>
        <w:rPr>
          <w:rFonts w:hint="default" w:ascii="Times New Roman" w:hAnsi="Times New Roman" w:eastAsia="宋体" w:cs="Times New Roman"/>
          <w:i/>
          <w:iCs/>
          <w:color w:val="auto"/>
          <w:sz w:val="21"/>
          <w:szCs w:val="21"/>
          <w:highlight w:val="none"/>
          <w:lang w:val="en-US" w:eastAsia="zh-CN"/>
        </w:rPr>
        <w:t>pl</w:t>
      </w:r>
      <w:r>
        <w:rPr>
          <w:rFonts w:hint="default" w:ascii="Times New Roman" w:hAnsi="Times New Roman" w:eastAsia="宋体" w:cs="Times New Roman"/>
          <w:color w:val="auto"/>
          <w:sz w:val="21"/>
          <w:szCs w:val="21"/>
          <w:highlight w:val="none"/>
        </w:rPr>
        <w:t>）法：</w:t>
      </w:r>
      <w:r>
        <w:rPr>
          <w:rFonts w:hint="default" w:ascii="Times New Roman" w:hAnsi="Times New Roman" w:eastAsia="宋体" w:cs="Times New Roman"/>
          <w:i/>
          <w:iCs/>
          <w:color w:val="auto"/>
          <w:sz w:val="21"/>
          <w:szCs w:val="21"/>
          <w:highlight w:val="none"/>
          <w:lang w:val="en-US" w:eastAsia="zh-CN"/>
        </w:rPr>
        <w:t>pl</w:t>
      </w:r>
      <w:r>
        <w:rPr>
          <w:rFonts w:hint="default" w:ascii="Times New Roman" w:hAnsi="Times New Roman" w:eastAsia="宋体" w:cs="Times New Roman"/>
          <w:color w:val="auto"/>
          <w:sz w:val="21"/>
          <w:szCs w:val="21"/>
          <w:highlight w:val="none"/>
          <w:lang w:val="en-US" w:eastAsia="zh-CN"/>
        </w:rPr>
        <w:t>&gt;12</w:t>
      </w:r>
      <w:r>
        <w:rPr>
          <w:rFonts w:hint="default" w:ascii="Times New Roman" w:hAnsi="Times New Roman" w:eastAsia="宋体" w:cs="Times New Roman"/>
          <w:color w:val="auto"/>
          <w:sz w:val="21"/>
          <w:szCs w:val="21"/>
          <w:highlight w:val="none"/>
        </w:rPr>
        <w:t>为无淤积倾向，</w:t>
      </w:r>
      <w:r>
        <w:rPr>
          <w:rFonts w:hint="default" w:ascii="Times New Roman" w:hAnsi="Times New Roman" w:eastAsia="宋体" w:cs="Times New Roman"/>
          <w:i/>
          <w:iCs/>
          <w:color w:val="auto"/>
          <w:sz w:val="21"/>
          <w:szCs w:val="21"/>
          <w:highlight w:val="none"/>
          <w:lang w:val="en-US" w:eastAsia="zh-CN"/>
        </w:rPr>
        <w:t>pl</w:t>
      </w:r>
      <w:r>
        <w:rPr>
          <w:rFonts w:hint="default" w:ascii="Times New Roman" w:hAnsi="Times New Roman" w:eastAsia="宋体" w:cs="Times New Roman"/>
          <w:color w:val="auto"/>
          <w:sz w:val="21"/>
          <w:szCs w:val="21"/>
          <w:highlight w:val="none"/>
          <w:lang w:val="en-US" w:eastAsia="zh-CN"/>
        </w:rPr>
        <w:t>=6~12</w:t>
      </w:r>
      <w:r>
        <w:rPr>
          <w:rFonts w:hint="default" w:ascii="Times New Roman" w:hAnsi="Times New Roman" w:eastAsia="宋体" w:cs="Times New Roman"/>
          <w:color w:val="auto"/>
          <w:sz w:val="21"/>
          <w:szCs w:val="21"/>
          <w:highlight w:val="none"/>
        </w:rPr>
        <w:t>为有限的淤积倾向，</w:t>
      </w:r>
      <w:r>
        <w:rPr>
          <w:rFonts w:hint="default" w:ascii="Times New Roman" w:hAnsi="Times New Roman" w:eastAsia="宋体" w:cs="Times New Roman"/>
          <w:i/>
          <w:iCs/>
          <w:color w:val="auto"/>
          <w:sz w:val="21"/>
          <w:szCs w:val="21"/>
          <w:highlight w:val="none"/>
          <w:lang w:val="en-US" w:eastAsia="zh-CN"/>
        </w:rPr>
        <w:t>pl</w:t>
      </w:r>
      <w:r>
        <w:rPr>
          <w:rFonts w:hint="default" w:ascii="Times New Roman" w:hAnsi="Times New Roman" w:eastAsia="宋体" w:cs="Times New Roman"/>
          <w:color w:val="auto"/>
          <w:sz w:val="21"/>
          <w:szCs w:val="21"/>
          <w:highlight w:val="none"/>
          <w:lang w:val="en-US" w:eastAsia="zh-CN"/>
        </w:rPr>
        <w:t>&lt;6</w:t>
      </w:r>
      <w:r>
        <w:rPr>
          <w:rFonts w:hint="default" w:ascii="Times New Roman" w:hAnsi="Times New Roman" w:eastAsia="宋体" w:cs="Times New Roman"/>
          <w:color w:val="auto"/>
          <w:sz w:val="21"/>
          <w:szCs w:val="21"/>
          <w:highlight w:val="none"/>
        </w:rPr>
        <w:t>为很重的淤积倾向；</w:t>
      </w:r>
    </w:p>
    <w:p w14:paraId="3D328A25">
      <w:pPr>
        <w:pStyle w:val="85"/>
        <w:keepNext w:val="0"/>
        <w:keepLines w:val="0"/>
        <w:pageBreakBefore w:val="0"/>
        <w:widowControl/>
        <w:numPr>
          <w:ilvl w:val="0"/>
          <w:numId w:val="0"/>
        </w:numPr>
        <w:tabs>
          <w:tab w:val="clear" w:pos="845"/>
        </w:tabs>
        <w:kinsoku/>
        <w:wordWrap/>
        <w:overflowPunct/>
        <w:topLinePunct w:val="0"/>
        <w:bidi w:val="0"/>
        <w:adjustRightInd w:val="0"/>
        <w:snapToGrid w:val="0"/>
        <w:spacing w:line="240" w:lineRule="auto"/>
        <w:ind w:firstLine="420" w:firstLineChars="200"/>
        <w:rPr>
          <w:rFonts w:hint="default"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3</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黏粒与粉粒的比值大于0.5时不大可能发生淤积，反之可能发生淤积。试验表明，随水流最易移动的土粒是20〜150pm的粉细砂粒。根据国内有一些暗管排水试区的开挖检查和取样分析得到，土壤淤积倾向可用粘粒含量与粉粒加细砂粒含量的比值</w:t>
      </w:r>
      <w:r>
        <w:rPr>
          <w:rFonts w:hint="default" w:ascii="Times New Roman" w:hAnsi="Times New Roman" w:eastAsia="宋体" w:cs="Times New Roman"/>
          <w:i/>
          <w:iCs/>
          <w:color w:val="auto"/>
          <w:sz w:val="21"/>
          <w:szCs w:val="21"/>
          <w:highlight w:val="none"/>
          <w:lang w:val="en-US" w:eastAsia="zh-CN"/>
        </w:rPr>
        <w:t>R</w:t>
      </w:r>
      <w:r>
        <w:rPr>
          <w:rFonts w:hint="default" w:ascii="Times New Roman" w:hAnsi="Times New Roman" w:eastAsia="宋体" w:cs="Times New Roman"/>
          <w:i/>
          <w:iCs/>
          <w:color w:val="auto"/>
          <w:sz w:val="21"/>
          <w:szCs w:val="21"/>
          <w:highlight w:val="none"/>
          <w:vertAlign w:val="subscript"/>
          <w:lang w:val="en-US" w:eastAsia="zh-CN"/>
        </w:rPr>
        <w:t>g</w:t>
      </w:r>
      <w:r>
        <w:rPr>
          <w:rFonts w:hint="default" w:ascii="Times New Roman" w:hAnsi="Times New Roman" w:eastAsia="宋体" w:cs="Times New Roman"/>
          <w:color w:val="auto"/>
          <w:sz w:val="21"/>
          <w:szCs w:val="21"/>
          <w:highlight w:val="none"/>
        </w:rPr>
        <w:t>来判断：</w:t>
      </w:r>
      <w:r>
        <w:rPr>
          <w:rFonts w:hint="default" w:ascii="Times New Roman" w:hAnsi="Times New Roman" w:eastAsia="宋体" w:cs="Times New Roman"/>
          <w:i/>
          <w:iCs/>
          <w:color w:val="auto"/>
          <w:sz w:val="21"/>
          <w:szCs w:val="21"/>
          <w:highlight w:val="none"/>
          <w:lang w:val="en-US" w:eastAsia="zh-CN"/>
        </w:rPr>
        <w:t>Rg</w:t>
      </w:r>
      <w:r>
        <w:rPr>
          <w:rFonts w:hint="default" w:ascii="Times New Roman" w:hAnsi="Times New Roman" w:eastAsia="宋体" w:cs="Times New Roman"/>
          <w:color w:val="auto"/>
          <w:sz w:val="21"/>
          <w:szCs w:val="21"/>
          <w:highlight w:val="none"/>
          <w:lang w:val="en-US" w:eastAsia="zh-CN"/>
        </w:rPr>
        <w:t>≥0.6</w:t>
      </w:r>
      <w:r>
        <w:rPr>
          <w:rFonts w:hint="default" w:ascii="Times New Roman" w:hAnsi="Times New Roman" w:eastAsia="宋体" w:cs="Times New Roman"/>
          <w:color w:val="auto"/>
          <w:sz w:val="21"/>
          <w:szCs w:val="21"/>
          <w:highlight w:val="none"/>
        </w:rPr>
        <w:t>为无淤积倾向，</w:t>
      </w:r>
      <w:r>
        <w:rPr>
          <w:rFonts w:hint="default" w:ascii="Times New Roman" w:hAnsi="Times New Roman" w:eastAsia="宋体" w:cs="Times New Roman"/>
          <w:i/>
          <w:iCs/>
          <w:color w:val="auto"/>
          <w:sz w:val="21"/>
          <w:szCs w:val="21"/>
          <w:highlight w:val="none"/>
          <w:lang w:val="en-US" w:eastAsia="zh-CN"/>
        </w:rPr>
        <w:t>Rg</w:t>
      </w:r>
      <w:r>
        <w:rPr>
          <w:rFonts w:hint="default" w:ascii="Times New Roman" w:hAnsi="Times New Roman" w:eastAsia="宋体" w:cs="Times New Roman"/>
          <w:color w:val="auto"/>
          <w:sz w:val="21"/>
          <w:szCs w:val="21"/>
          <w:highlight w:val="none"/>
          <w:lang w:val="en-US" w:eastAsia="zh-CN"/>
        </w:rPr>
        <w:t>=0.5</w:t>
      </w:r>
      <w:r>
        <w:rPr>
          <w:rFonts w:hint="default" w:ascii="Times New Roman" w:hAnsi="Times New Roman" w:eastAsia="宋体" w:cs="Times New Roman"/>
          <w:color w:val="auto"/>
          <w:sz w:val="21"/>
          <w:szCs w:val="21"/>
          <w:highlight w:val="none"/>
        </w:rPr>
        <w:t>左右为淤积倾向较轻，</w:t>
      </w:r>
      <w:r>
        <w:rPr>
          <w:rFonts w:hint="default" w:ascii="Times New Roman" w:hAnsi="Times New Roman" w:eastAsia="宋体" w:cs="Times New Roman"/>
          <w:i/>
          <w:iCs/>
          <w:color w:val="auto"/>
          <w:sz w:val="21"/>
          <w:szCs w:val="21"/>
          <w:highlight w:val="none"/>
          <w:lang w:val="en-US" w:eastAsia="zh-CN"/>
        </w:rPr>
        <w:t>Rg</w:t>
      </w:r>
      <w:r>
        <w:rPr>
          <w:rFonts w:hint="default" w:ascii="Times New Roman" w:hAnsi="Times New Roman" w:eastAsia="宋体" w:cs="Times New Roman"/>
          <w:color w:val="auto"/>
          <w:sz w:val="21"/>
          <w:szCs w:val="21"/>
          <w:highlight w:val="none"/>
          <w:lang w:val="en-US" w:eastAsia="zh-CN"/>
        </w:rPr>
        <w:t>&lt;0.4</w:t>
      </w:r>
      <w:r>
        <w:rPr>
          <w:rFonts w:hint="default" w:ascii="Times New Roman" w:hAnsi="Times New Roman" w:eastAsia="宋体" w:cs="Times New Roman"/>
          <w:color w:val="auto"/>
          <w:sz w:val="21"/>
          <w:szCs w:val="21"/>
          <w:highlight w:val="none"/>
        </w:rPr>
        <w:t>为淤积倾向较重；</w:t>
      </w:r>
    </w:p>
    <w:p w14:paraId="0944EC06">
      <w:pPr>
        <w:pStyle w:val="85"/>
        <w:keepNext w:val="0"/>
        <w:keepLines w:val="0"/>
        <w:pageBreakBefore w:val="0"/>
        <w:widowControl/>
        <w:numPr>
          <w:ilvl w:val="0"/>
          <w:numId w:val="0"/>
        </w:numPr>
        <w:tabs>
          <w:tab w:val="clear" w:pos="845"/>
        </w:tabs>
        <w:kinsoku/>
        <w:wordWrap/>
        <w:overflowPunct/>
        <w:topLinePunct w:val="0"/>
        <w:bidi w:val="0"/>
        <w:spacing w:line="240" w:lineRule="auto"/>
        <w:ind w:firstLine="420" w:firstLineChars="200"/>
        <w:rPr>
          <w:rFonts w:hint="eastAsia"/>
          <w:color w:val="auto"/>
          <w:highlight w:val="none"/>
        </w:rPr>
      </w:pPr>
      <w:r>
        <w:rPr>
          <w:rFonts w:hint="eastAsia" w:ascii="Times New Roman" w:hAnsi="Times New Roman" w:eastAsia="宋体" w:cs="Times New Roman"/>
          <w:color w:val="auto"/>
          <w:sz w:val="21"/>
          <w:szCs w:val="21"/>
          <w:highlight w:val="none"/>
          <w:lang w:eastAsia="zh-CN"/>
        </w:rPr>
        <w:t>（</w:t>
      </w:r>
      <w:r>
        <w:rPr>
          <w:rFonts w:hint="eastAsia" w:ascii="Times New Roman" w:hAnsi="Times New Roman" w:eastAsia="宋体" w:cs="Times New Roman"/>
          <w:color w:val="auto"/>
          <w:sz w:val="21"/>
          <w:szCs w:val="21"/>
          <w:highlight w:val="none"/>
          <w:lang w:val="en-US" w:eastAsia="zh-CN"/>
        </w:rPr>
        <w:t>4</w:t>
      </w:r>
      <w:r>
        <w:rPr>
          <w:rFonts w:hint="eastAsia" w:ascii="Times New Roman" w:hAnsi="Times New Roman" w:eastAsia="宋体" w:cs="Times New Roman"/>
          <w:color w:val="auto"/>
          <w:sz w:val="21"/>
          <w:szCs w:val="21"/>
          <w:highlight w:val="none"/>
          <w:lang w:eastAsia="zh-CN"/>
        </w:rPr>
        <w:t>）</w:t>
      </w:r>
      <w:r>
        <w:rPr>
          <w:rFonts w:hint="default" w:ascii="Times New Roman" w:hAnsi="Times New Roman" w:eastAsia="宋体" w:cs="Times New Roman"/>
          <w:color w:val="auto"/>
          <w:sz w:val="21"/>
          <w:szCs w:val="21"/>
          <w:highlight w:val="none"/>
        </w:rPr>
        <w:t>根据宁夏引黄灌区农业综合开发暗管排水工程运行情况调研，分别在贺兰县和吴忠市利通区开挖探槽取出暗管及过滤层发现，外包滤料非常完整，土工布过滤效果也很正常，说明外包滤料设计与施工是合理的。</w:t>
      </w:r>
    </w:p>
    <w:p w14:paraId="37921F74">
      <w:pPr>
        <w:pStyle w:val="103"/>
        <w:rPr>
          <w:rFonts w:hint="eastAsia"/>
          <w:color w:val="auto"/>
          <w:highlight w:val="none"/>
        </w:rPr>
      </w:pPr>
    </w:p>
    <w:p w14:paraId="50BC57B3">
      <w:pPr>
        <w:pStyle w:val="137"/>
        <w:rPr>
          <w:rFonts w:hint="eastAsia"/>
          <w:color w:val="auto"/>
          <w:highlight w:val="none"/>
        </w:rPr>
      </w:pPr>
    </w:p>
    <w:p w14:paraId="0CE21BC3">
      <w:pPr>
        <w:pStyle w:val="75"/>
        <w:rPr>
          <w:rFonts w:hint="eastAsia"/>
          <w:color w:val="auto"/>
          <w:highlight w:val="none"/>
        </w:rPr>
      </w:pPr>
      <w:r>
        <w:rPr>
          <w:color w:val="auto"/>
          <w:highlight w:val="none"/>
        </w:rPr>
        <w:br w:type="textWrapping"/>
      </w:r>
      <w:r>
        <w:rPr>
          <w:rFonts w:hint="eastAsia"/>
          <w:color w:val="auto"/>
          <w:highlight w:val="none"/>
        </w:rPr>
        <w:t>（资料性附录）</w:t>
      </w:r>
      <w:r>
        <w:rPr>
          <w:color w:val="auto"/>
          <w:highlight w:val="none"/>
        </w:rPr>
        <w:br w:type="textWrapping"/>
      </w:r>
      <w:r>
        <w:rPr>
          <w:rFonts w:hint="eastAsia"/>
          <w:color w:val="auto"/>
          <w:highlight w:val="none"/>
        </w:rPr>
        <w:t>砂滤料设计方法</w:t>
      </w:r>
    </w:p>
    <w:p w14:paraId="1F16AB96">
      <w:pPr>
        <w:pStyle w:val="25"/>
        <w:keepNext w:val="0"/>
        <w:keepLines w:val="0"/>
        <w:pageBreakBefore w:val="0"/>
        <w:widowControl/>
        <w:numPr>
          <w:ilvl w:val="0"/>
          <w:numId w:val="0"/>
        </w:numPr>
        <w:kinsoku/>
        <w:wordWrap/>
        <w:overflowPunct/>
        <w:topLinePunct w:val="0"/>
        <w:bidi w:val="0"/>
        <w:adjustRightInd/>
        <w:snapToGrid/>
        <w:spacing w:line="240" w:lineRule="auto"/>
        <w:ind w:leftChars="0"/>
        <w:textAlignment w:val="auto"/>
        <w:rPr>
          <w:rFonts w:hint="default" w:ascii="Times New Roman" w:hAnsi="Times New Roman" w:eastAsia="宋体" w:cs="Times New Roman"/>
          <w:color w:val="auto"/>
          <w:szCs w:val="22"/>
          <w:highlight w:val="none"/>
        </w:rPr>
      </w:pPr>
      <w:r>
        <w:rPr>
          <w:rFonts w:hint="eastAsia" w:ascii="宋体" w:hAnsi="宋体" w:eastAsia="宋体" w:cs="宋体"/>
          <w:b/>
          <w:bCs/>
          <w:color w:val="auto"/>
          <w:szCs w:val="22"/>
          <w:highlight w:val="none"/>
          <w:lang w:val="en-US" w:eastAsia="zh-CN"/>
        </w:rPr>
        <w:t>J.1</w:t>
      </w:r>
      <w:r>
        <w:rPr>
          <w:rFonts w:hint="default" w:ascii="Times New Roman" w:hAnsi="Times New Roman" w:eastAsia="宋体" w:cs="Times New Roman"/>
          <w:color w:val="auto"/>
          <w:szCs w:val="22"/>
          <w:highlight w:val="none"/>
        </w:rPr>
        <w:t>外包料（砂滤料）设计步骤：</w:t>
      </w:r>
    </w:p>
    <w:p w14:paraId="03F5392A">
      <w:pPr>
        <w:pStyle w:val="85"/>
        <w:keepNext w:val="0"/>
        <w:keepLines w:val="0"/>
        <w:pageBreakBefore w:val="0"/>
        <w:widowControl/>
        <w:numPr>
          <w:ilvl w:val="0"/>
          <w:numId w:val="0"/>
        </w:numPr>
        <w:tabs>
          <w:tab w:val="clear" w:pos="845"/>
        </w:tabs>
        <w:kinsoku/>
        <w:wordWrap/>
        <w:overflowPunct/>
        <w:topLinePunct w:val="0"/>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1</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在埋管层取覆盖全项目区特点的土样（取决于整个项目区的变异性）；</w:t>
      </w:r>
    </w:p>
    <w:p w14:paraId="335217F0">
      <w:pPr>
        <w:pStyle w:val="85"/>
        <w:keepNext w:val="0"/>
        <w:keepLines w:val="0"/>
        <w:pageBreakBefore w:val="0"/>
        <w:widowControl/>
        <w:numPr>
          <w:ilvl w:val="0"/>
          <w:numId w:val="0"/>
        </w:numPr>
        <w:tabs>
          <w:tab w:val="clear" w:pos="845"/>
        </w:tabs>
        <w:kinsoku/>
        <w:wordWrap/>
        <w:overflowPunct/>
        <w:topLinePunct w:val="0"/>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2</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在实验室确定土壤粒径分布，并画出粒径级配曲线图；</w:t>
      </w:r>
    </w:p>
    <w:p w14:paraId="5866745F">
      <w:pPr>
        <w:pStyle w:val="85"/>
        <w:keepNext w:val="0"/>
        <w:keepLines w:val="0"/>
        <w:pageBreakBefore w:val="0"/>
        <w:widowControl/>
        <w:numPr>
          <w:ilvl w:val="0"/>
          <w:numId w:val="0"/>
        </w:numPr>
        <w:tabs>
          <w:tab w:val="clear" w:pos="845"/>
        </w:tabs>
        <w:kinsoku/>
        <w:wordWrap/>
        <w:overflowPunct/>
        <w:topLinePunct w:val="0"/>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3</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根据粘土含量百分比和粒径渐变性，确定是否需要砾石外包料，如果粘土含量小于20%，则需用外包料；</w:t>
      </w:r>
    </w:p>
    <w:p w14:paraId="6DDCA935">
      <w:pPr>
        <w:pStyle w:val="85"/>
        <w:keepNext w:val="0"/>
        <w:keepLines w:val="0"/>
        <w:pageBreakBefore w:val="0"/>
        <w:widowControl/>
        <w:numPr>
          <w:ilvl w:val="0"/>
          <w:numId w:val="0"/>
        </w:numPr>
        <w:tabs>
          <w:tab w:val="clear" w:pos="845"/>
        </w:tabs>
        <w:kinsoku/>
        <w:wordWrap/>
        <w:overflowPunct/>
        <w:topLinePunct w:val="0"/>
        <w:bidi w:val="0"/>
        <w:adjustRightInd/>
        <w:snapToGrid/>
        <w:spacing w:line="240" w:lineRule="auto"/>
        <w:ind w:left="426"/>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4</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确定外包料的主要功用（过滤、渗透、两者兼之），当高粉砂含量时，主要功用是过滤；</w:t>
      </w:r>
    </w:p>
    <w:p w14:paraId="6AEAC8AA">
      <w:pPr>
        <w:pStyle w:val="85"/>
        <w:keepNext w:val="0"/>
        <w:keepLines w:val="0"/>
        <w:pageBreakBefore w:val="0"/>
        <w:widowControl/>
        <w:numPr>
          <w:ilvl w:val="0"/>
          <w:numId w:val="0"/>
        </w:numPr>
        <w:tabs>
          <w:tab w:val="clear" w:pos="845"/>
        </w:tabs>
        <w:kinsoku/>
        <w:wordWrap/>
        <w:overflowPunct/>
        <w:topLinePunct w:val="0"/>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5</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根据当地实际，选择适当标准，如果最细土中粘土小于20%，注意过滤标准的应用；</w:t>
      </w:r>
    </w:p>
    <w:p w14:paraId="53A8350E">
      <w:pPr>
        <w:pStyle w:val="85"/>
        <w:keepNext w:val="0"/>
        <w:keepLines w:val="0"/>
        <w:pageBreakBefore w:val="0"/>
        <w:widowControl/>
        <w:numPr>
          <w:ilvl w:val="0"/>
          <w:numId w:val="0"/>
        </w:numPr>
        <w:tabs>
          <w:tab w:val="clear" w:pos="845"/>
        </w:tabs>
        <w:kinsoku/>
        <w:wordWrap/>
        <w:overflowPunct/>
        <w:topLinePunct w:val="0"/>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6</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粗边界的确定：砂滤料的粗边界曲线根据土壤粒级曲线图的细边界与滤料粗边界设计标准进行设计。粗边界设计控制点：</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15c</w:t>
      </w:r>
      <w:r>
        <w:rPr>
          <w:rFonts w:hint="default" w:ascii="Times New Roman" w:hAnsi="Times New Roman" w:eastAsia="宋体" w:cs="Times New Roman"/>
          <w:color w:val="auto"/>
          <w:highlight w:val="none"/>
          <w:lang w:val="en-US" w:eastAsia="zh-CN"/>
        </w:rPr>
        <w:t>&lt;7×</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85f</w:t>
      </w:r>
      <w:r>
        <w:rPr>
          <w:rFonts w:hint="default" w:ascii="Times New Roman" w:hAnsi="Times New Roman" w:eastAsia="宋体" w:cs="Times New Roman"/>
          <w:color w:val="auto"/>
          <w:highlight w:val="none"/>
        </w:rPr>
        <w:t>（过滤标准）；</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60c</w:t>
      </w:r>
      <w:r>
        <w:rPr>
          <w:rFonts w:hint="default" w:ascii="Times New Roman" w:hAnsi="Times New Roman" w:eastAsia="宋体" w:cs="Times New Roman"/>
          <w:color w:val="auto"/>
          <w:highlight w:val="none"/>
          <w:vertAlign w:val="baseline"/>
          <w:lang w:val="en-US" w:eastAsia="zh-CN"/>
        </w:rPr>
        <w:t>=5</w:t>
      </w:r>
      <w:r>
        <w:rPr>
          <w:rFonts w:hint="default" w:ascii="Times New Roman" w:hAnsi="Times New Roman" w:eastAsia="宋体" w:cs="Times New Roman"/>
          <w:color w:val="auto"/>
          <w:highlight w:val="none"/>
          <w:lang w:val="en-US" w:eastAsia="zh-CN"/>
        </w:rPr>
        <w:t>×</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15c</w:t>
      </w:r>
      <w:r>
        <w:rPr>
          <w:rFonts w:hint="default" w:ascii="Times New Roman" w:hAnsi="Times New Roman" w:eastAsia="宋体" w:cs="Times New Roman"/>
          <w:color w:val="auto"/>
          <w:highlight w:val="none"/>
        </w:rPr>
        <w:t>；</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100c</w:t>
      </w:r>
      <w:r>
        <w:rPr>
          <w:rFonts w:hint="default" w:ascii="Times New Roman" w:hAnsi="Times New Roman" w:eastAsia="宋体" w:cs="Times New Roman"/>
          <w:color w:val="auto"/>
          <w:highlight w:val="none"/>
          <w:lang w:val="en-US" w:eastAsia="zh-CN"/>
        </w:rPr>
        <w:t>&lt;9.5mm</w:t>
      </w:r>
      <w:r>
        <w:rPr>
          <w:rFonts w:hint="default" w:ascii="Times New Roman" w:hAnsi="Times New Roman" w:eastAsia="宋体" w:cs="Times New Roman"/>
          <w:color w:val="auto"/>
          <w:highlight w:val="none"/>
        </w:rPr>
        <w:t>；</w:t>
      </w:r>
    </w:p>
    <w:p w14:paraId="0A9B5DD4">
      <w:pPr>
        <w:pStyle w:val="85"/>
        <w:keepNext w:val="0"/>
        <w:keepLines w:val="0"/>
        <w:pageBreakBefore w:val="0"/>
        <w:widowControl/>
        <w:numPr>
          <w:ilvl w:val="0"/>
          <w:numId w:val="0"/>
        </w:numPr>
        <w:tabs>
          <w:tab w:val="clear" w:pos="845"/>
        </w:tabs>
        <w:kinsoku/>
        <w:wordWrap/>
        <w:overflowPunct/>
        <w:topLinePunct w:val="0"/>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7</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细边界的确定：砂滤料的细边界曲线根据土壤粒级曲线图粗边界与滤料细边界设计标准进行设计。细边界设计控制点：</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15f</w:t>
      </w:r>
      <w:r>
        <w:rPr>
          <w:rFonts w:hint="default" w:ascii="Times New Roman" w:hAnsi="Times New Roman" w:eastAsia="宋体" w:cs="Times New Roman"/>
          <w:color w:val="auto"/>
          <w:highlight w:val="none"/>
          <w:vertAlign w:val="baseline"/>
          <w:lang w:val="en-US" w:eastAsia="zh-CN"/>
        </w:rPr>
        <w:t>&gt;4</w:t>
      </w:r>
      <w:r>
        <w:rPr>
          <w:rFonts w:hint="default" w:ascii="Times New Roman" w:hAnsi="Times New Roman" w:eastAsia="宋体" w:cs="Times New Roman"/>
          <w:color w:val="auto"/>
          <w:highlight w:val="none"/>
          <w:lang w:val="en-US" w:eastAsia="zh-CN"/>
        </w:rPr>
        <w:t>×</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15c</w:t>
      </w:r>
      <w:r>
        <w:rPr>
          <w:rFonts w:hint="default" w:ascii="Times New Roman" w:hAnsi="Times New Roman" w:eastAsia="宋体" w:cs="Times New Roman"/>
          <w:color w:val="auto"/>
          <w:highlight w:val="none"/>
        </w:rPr>
        <w:t>；</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15f</w:t>
      </w:r>
      <w:r>
        <w:rPr>
          <w:rFonts w:hint="default" w:ascii="Times New Roman" w:hAnsi="Times New Roman" w:eastAsia="宋体" w:cs="Times New Roman"/>
          <w:color w:val="auto"/>
          <w:highlight w:val="none"/>
          <w:vertAlign w:val="baseline"/>
          <w:lang w:val="en-US" w:eastAsia="zh-CN"/>
        </w:rPr>
        <w:t>=</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15c</w:t>
      </w:r>
      <w:r>
        <w:rPr>
          <w:rFonts w:hint="default" w:ascii="Times New Roman" w:hAnsi="Times New Roman" w:eastAsia="宋体" w:cs="Times New Roman"/>
          <w:color w:val="auto"/>
          <w:highlight w:val="none"/>
          <w:vertAlign w:val="baseline"/>
          <w:lang w:val="en-US" w:eastAsia="zh-CN"/>
        </w:rPr>
        <w:t>/5</w:t>
      </w:r>
      <w:r>
        <w:rPr>
          <w:rFonts w:hint="default" w:ascii="Times New Roman" w:hAnsi="Times New Roman" w:eastAsia="宋体" w:cs="Times New Roman"/>
          <w:color w:val="auto"/>
          <w:highlight w:val="none"/>
        </w:rPr>
        <w:t>；</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5</w:t>
      </w:r>
      <w:r>
        <w:rPr>
          <w:rFonts w:hint="default" w:ascii="Times New Roman" w:hAnsi="Times New Roman" w:eastAsia="宋体" w:cs="Times New Roman"/>
          <w:color w:val="auto"/>
          <w:highlight w:val="none"/>
          <w:lang w:val="en-US" w:eastAsia="zh-CN"/>
        </w:rPr>
        <w:t>&gt;0.074mm</w:t>
      </w:r>
      <w:r>
        <w:rPr>
          <w:rFonts w:hint="default" w:ascii="Times New Roman" w:hAnsi="Times New Roman" w:eastAsia="宋体" w:cs="Times New Roman"/>
          <w:color w:val="auto"/>
          <w:highlight w:val="none"/>
        </w:rPr>
        <w:t>；</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50f</w:t>
      </w:r>
      <w:r>
        <w:rPr>
          <w:rFonts w:hint="default" w:ascii="Times New Roman" w:hAnsi="Times New Roman" w:eastAsia="宋体" w:cs="Times New Roman"/>
          <w:color w:val="auto"/>
          <w:highlight w:val="none"/>
          <w:lang w:val="en-US" w:eastAsia="zh-CN"/>
        </w:rPr>
        <w:t>=</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60c</w:t>
      </w:r>
      <w:r>
        <w:rPr>
          <w:rFonts w:hint="default" w:ascii="Times New Roman" w:hAnsi="Times New Roman" w:eastAsia="宋体" w:cs="Times New Roman"/>
          <w:color w:val="auto"/>
          <w:highlight w:val="none"/>
          <w:lang w:val="en-US" w:eastAsia="zh-CN"/>
        </w:rPr>
        <w:t>/5</w:t>
      </w:r>
      <w:r>
        <w:rPr>
          <w:rFonts w:hint="default" w:ascii="Times New Roman" w:hAnsi="Times New Roman" w:eastAsia="宋体" w:cs="Times New Roman"/>
          <w:color w:val="auto"/>
          <w:highlight w:val="none"/>
        </w:rPr>
        <w:t>；</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85</w:t>
      </w:r>
      <w:r>
        <w:rPr>
          <w:rFonts w:hint="default" w:ascii="Times New Roman" w:hAnsi="Times New Roman" w:eastAsia="宋体" w:cs="Times New Roman"/>
          <w:color w:val="auto"/>
          <w:highlight w:val="none"/>
          <w:lang w:val="en-US" w:eastAsia="zh-CN"/>
        </w:rPr>
        <w:t>&gt;</w:t>
      </w:r>
      <w:r>
        <w:rPr>
          <w:rFonts w:hint="default" w:ascii="Times New Roman" w:hAnsi="Times New Roman" w:eastAsia="宋体" w:cs="Times New Roman"/>
          <w:i/>
          <w:iCs/>
          <w:color w:val="auto"/>
          <w:highlight w:val="none"/>
          <w:lang w:val="en-US" w:eastAsia="zh-CN"/>
        </w:rPr>
        <w:t>D</w:t>
      </w:r>
      <w:r>
        <w:rPr>
          <w:rFonts w:hint="default" w:ascii="Times New Roman" w:hAnsi="Times New Roman" w:eastAsia="宋体" w:cs="Times New Roman"/>
          <w:i/>
          <w:iCs/>
          <w:color w:val="auto"/>
          <w:highlight w:val="none"/>
          <w:vertAlign w:val="subscript"/>
          <w:lang w:val="en-US" w:eastAsia="zh-CN"/>
        </w:rPr>
        <w:t>opening</w:t>
      </w:r>
      <w:r>
        <w:rPr>
          <w:rFonts w:hint="default" w:ascii="Times New Roman" w:hAnsi="Times New Roman" w:eastAsia="宋体" w:cs="Times New Roman"/>
          <w:color w:val="auto"/>
          <w:highlight w:val="none"/>
        </w:rPr>
        <w:t>；</w:t>
      </w:r>
    </w:p>
    <w:p w14:paraId="1061A030">
      <w:pPr>
        <w:pStyle w:val="85"/>
        <w:keepNext w:val="0"/>
        <w:keepLines w:val="0"/>
        <w:pageBreakBefore w:val="0"/>
        <w:widowControl/>
        <w:numPr>
          <w:ilvl w:val="0"/>
          <w:numId w:val="0"/>
        </w:numPr>
        <w:tabs>
          <w:tab w:val="clear" w:pos="845"/>
        </w:tabs>
        <w:kinsoku/>
        <w:wordWrap/>
        <w:overflowPunct/>
        <w:topLinePunct w:val="0"/>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8</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外包滤料粒径分布主要通过埋管层土粒径分布来确定，以埋管层土和滤料的颗粒粒径累积分布为基础。</w:t>
      </w:r>
    </w:p>
    <w:p w14:paraId="12B0BA2E">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hint="default" w:ascii="Times New Roman" w:hAnsi="Times New Roman" w:eastAsia="宋体" w:cs="Times New Roman"/>
          <w:color w:val="auto"/>
          <w:szCs w:val="22"/>
          <w:highlight w:val="none"/>
        </w:rPr>
      </w:pPr>
      <w:r>
        <w:rPr>
          <w:rFonts w:hint="eastAsia" w:ascii="宋体" w:hAnsi="宋体" w:eastAsia="宋体" w:cs="宋体"/>
          <w:b/>
          <w:bCs/>
          <w:color w:val="auto"/>
          <w:szCs w:val="22"/>
          <w:highlight w:val="none"/>
          <w:lang w:val="en-US" w:eastAsia="zh-CN"/>
        </w:rPr>
        <w:t>J</w:t>
      </w:r>
      <w:r>
        <w:rPr>
          <w:rFonts w:hint="eastAsia" w:ascii="宋体" w:hAnsi="宋体" w:eastAsia="宋体" w:cs="宋体"/>
          <w:b/>
          <w:bCs/>
          <w:color w:val="auto"/>
          <w:szCs w:val="22"/>
          <w:highlight w:val="none"/>
        </w:rPr>
        <w:t>.2</w:t>
      </w:r>
      <w:r>
        <w:rPr>
          <w:rFonts w:hint="default" w:ascii="Times New Roman" w:hAnsi="Times New Roman" w:eastAsia="宋体" w:cs="Times New Roman"/>
          <w:color w:val="auto"/>
          <w:szCs w:val="22"/>
          <w:highlight w:val="none"/>
        </w:rPr>
        <w:t xml:space="preserve"> 按美国农业部水土保持局和农垦局标准进行砂砾石外包料设计</w:t>
      </w:r>
    </w:p>
    <w:p w14:paraId="288BFE4B">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default" w:ascii="Times New Roman" w:hAnsi="Times New Roman" w:eastAsia="宋体" w:cs="Times New Roman"/>
          <w:color w:val="auto"/>
          <w:szCs w:val="22"/>
          <w:highlight w:val="none"/>
        </w:rPr>
      </w:pPr>
      <w:r>
        <w:rPr>
          <w:rFonts w:hint="default" w:ascii="Times New Roman" w:hAnsi="Times New Roman" w:eastAsia="宋体" w:cs="Times New Roman"/>
          <w:color w:val="auto"/>
          <w:szCs w:val="22"/>
          <w:highlight w:val="none"/>
        </w:rPr>
        <w:t>美国农业部水土保持局SCS（Soil Conservation Service）和美国农垦局USBR（United States Bureau of Reclamation）分别制定了埋管外包料设计标准，并绘制了符合设计标准的外包料粒径分布的控制曲线图（见图</w:t>
      </w:r>
      <w:r>
        <w:rPr>
          <w:rFonts w:hint="eastAsia" w:ascii="Times New Roman" w:hAnsi="Times New Roman" w:eastAsia="宋体" w:cs="Times New Roman"/>
          <w:color w:val="auto"/>
          <w:szCs w:val="22"/>
          <w:highlight w:val="none"/>
          <w:lang w:val="en-US" w:eastAsia="zh-CN"/>
        </w:rPr>
        <w:t>J</w:t>
      </w:r>
      <w:r>
        <w:rPr>
          <w:rFonts w:hint="eastAsia" w:ascii="宋体" w:hAnsi="宋体" w:eastAsia="宋体" w:cs="宋体"/>
          <w:color w:val="auto"/>
          <w:szCs w:val="22"/>
          <w:highlight w:val="none"/>
        </w:rPr>
        <w:t>.2-1</w:t>
      </w:r>
      <w:r>
        <w:rPr>
          <w:rFonts w:hint="default" w:ascii="Times New Roman" w:hAnsi="Times New Roman" w:eastAsia="宋体" w:cs="Times New Roman"/>
          <w:color w:val="auto"/>
          <w:szCs w:val="22"/>
          <w:highlight w:val="none"/>
        </w:rPr>
        <w:t>）。</w:t>
      </w:r>
    </w:p>
    <w:p w14:paraId="4E5D8776">
      <w:pPr>
        <w:pStyle w:val="25"/>
        <w:keepNext w:val="0"/>
        <w:keepLines w:val="0"/>
        <w:pageBreakBefore w:val="0"/>
        <w:widowControl/>
        <w:kinsoku/>
        <w:wordWrap/>
        <w:overflowPunct/>
        <w:topLinePunct w:val="0"/>
        <w:autoSpaceDE w:val="0"/>
        <w:autoSpaceDN w:val="0"/>
        <w:bidi w:val="0"/>
        <w:adjustRightInd/>
        <w:snapToGrid/>
        <w:spacing w:line="240" w:lineRule="auto"/>
        <w:textAlignment w:val="auto"/>
        <w:rPr>
          <w:rFonts w:hint="default" w:ascii="Times New Roman" w:hAnsi="Times New Roman" w:eastAsia="宋体" w:cs="Times New Roman"/>
          <w:color w:val="auto"/>
          <w:szCs w:val="22"/>
          <w:highlight w:val="none"/>
        </w:rPr>
      </w:pPr>
      <w:r>
        <w:rPr>
          <w:rFonts w:hint="default" w:ascii="Times New Roman" w:hAnsi="Times New Roman" w:eastAsia="宋体" w:cs="Times New Roman"/>
          <w:color w:val="auto"/>
          <w:szCs w:val="22"/>
          <w:highlight w:val="none"/>
        </w:rPr>
        <w:pict>
          <v:shape id="Object 17" o:spid="_x0000_s1042" o:spt="75" type="#_x0000_t75" style="position:absolute;left:0pt;margin-left:2.8pt;margin-top:38.5pt;height:196.8pt;width:470.2pt;z-index:251665408;mso-width-relative:page;mso-height-relative:page;" o:ole="t" filled="f" o:preferrelative="t" stroked="f" coordsize="21600,21600">
            <v:path/>
            <v:fill on="f" focussize="0,0"/>
            <v:stroke on="f"/>
            <v:imagedata r:id="rId92" o:title=""/>
            <o:lock v:ext="edit" aspectratio="t"/>
          </v:shape>
          <o:OLEObject Type="Embed" ProgID="" ShapeID="Object 17" DrawAspect="Content" ObjectID="_1468075762" r:id="rId91">
            <o:LockedField>false</o:LockedField>
          </o:OLEObject>
        </w:pict>
      </w:r>
      <w:r>
        <w:rPr>
          <w:rFonts w:hint="default" w:ascii="Times New Roman" w:hAnsi="Times New Roman" w:eastAsia="宋体" w:cs="Times New Roman"/>
          <w:color w:val="auto"/>
          <w:szCs w:val="22"/>
          <w:highlight w:val="none"/>
        </w:rPr>
        <w:t>USBR标准是针对干旱、半干旱地区的土壤提出的标准；SCS标准则是针对潮湿地带的土地制定的标准）进行砂砾外包滤料的设计，图中外包滤料的粒度分布界限是作为土壤颗粒的粒度分布的函数给出的。</w:t>
      </w:r>
    </w:p>
    <w:p w14:paraId="631667CA">
      <w:pPr>
        <w:pStyle w:val="25"/>
        <w:spacing w:line="360" w:lineRule="exact"/>
        <w:rPr>
          <w:rFonts w:ascii="Times New Roman"/>
          <w:color w:val="auto"/>
          <w:szCs w:val="22"/>
          <w:highlight w:val="none"/>
        </w:rPr>
      </w:pPr>
    </w:p>
    <w:p w14:paraId="2E1BA8F7">
      <w:pPr>
        <w:pStyle w:val="25"/>
        <w:spacing w:line="360" w:lineRule="exact"/>
        <w:rPr>
          <w:rFonts w:ascii="Times New Roman"/>
          <w:color w:val="auto"/>
          <w:szCs w:val="22"/>
          <w:highlight w:val="none"/>
        </w:rPr>
      </w:pPr>
    </w:p>
    <w:p w14:paraId="1D22983B">
      <w:pPr>
        <w:pStyle w:val="25"/>
        <w:spacing w:line="360" w:lineRule="exact"/>
        <w:rPr>
          <w:rFonts w:ascii="Times New Roman"/>
          <w:color w:val="auto"/>
          <w:szCs w:val="22"/>
          <w:highlight w:val="none"/>
        </w:rPr>
      </w:pPr>
    </w:p>
    <w:p w14:paraId="2148D918">
      <w:pPr>
        <w:pStyle w:val="25"/>
        <w:spacing w:line="360" w:lineRule="exact"/>
        <w:rPr>
          <w:rFonts w:ascii="Times New Roman"/>
          <w:color w:val="auto"/>
          <w:szCs w:val="22"/>
          <w:highlight w:val="none"/>
        </w:rPr>
      </w:pPr>
    </w:p>
    <w:p w14:paraId="4EDC2877">
      <w:pPr>
        <w:pStyle w:val="25"/>
        <w:spacing w:line="360" w:lineRule="exact"/>
        <w:rPr>
          <w:rFonts w:ascii="Times New Roman"/>
          <w:color w:val="auto"/>
          <w:szCs w:val="22"/>
          <w:highlight w:val="none"/>
        </w:rPr>
      </w:pPr>
    </w:p>
    <w:p w14:paraId="629195FD">
      <w:pPr>
        <w:pStyle w:val="25"/>
        <w:spacing w:line="360" w:lineRule="exact"/>
        <w:rPr>
          <w:rFonts w:ascii="Times New Roman"/>
          <w:color w:val="auto"/>
          <w:szCs w:val="22"/>
          <w:highlight w:val="none"/>
        </w:rPr>
      </w:pPr>
    </w:p>
    <w:p w14:paraId="2C298A92">
      <w:pPr>
        <w:pStyle w:val="25"/>
        <w:spacing w:line="360" w:lineRule="exact"/>
        <w:rPr>
          <w:rFonts w:ascii="Times New Roman"/>
          <w:color w:val="auto"/>
          <w:szCs w:val="22"/>
          <w:highlight w:val="none"/>
        </w:rPr>
      </w:pPr>
    </w:p>
    <w:p w14:paraId="5ACC2DDE">
      <w:pPr>
        <w:spacing w:line="440" w:lineRule="exact"/>
        <w:ind w:firstLine="904" w:firstLineChars="500"/>
        <w:rPr>
          <w:rFonts w:hint="eastAsia" w:ascii="黑体" w:hAnsi="黑体" w:eastAsia="黑体" w:cs="黑体"/>
          <w:b/>
          <w:bCs/>
          <w:color w:val="auto"/>
          <w:sz w:val="18"/>
          <w:szCs w:val="18"/>
          <w:highlight w:val="none"/>
        </w:rPr>
      </w:pPr>
    </w:p>
    <w:p w14:paraId="6CA6A2CF">
      <w:pPr>
        <w:spacing w:line="440" w:lineRule="exact"/>
        <w:ind w:firstLine="904" w:firstLineChars="500"/>
        <w:rPr>
          <w:rFonts w:hint="eastAsia" w:ascii="黑体" w:hAnsi="黑体" w:eastAsia="黑体" w:cs="黑体"/>
          <w:b/>
          <w:bCs/>
          <w:color w:val="auto"/>
          <w:sz w:val="18"/>
          <w:szCs w:val="18"/>
          <w:highlight w:val="none"/>
        </w:rPr>
      </w:pPr>
    </w:p>
    <w:p w14:paraId="71C9E230">
      <w:pPr>
        <w:spacing w:line="440" w:lineRule="exact"/>
        <w:ind w:firstLine="904" w:firstLineChars="500"/>
        <w:rPr>
          <w:rFonts w:hint="eastAsia" w:ascii="黑体" w:hAnsi="黑体" w:eastAsia="黑体" w:cs="黑体"/>
          <w:b/>
          <w:bCs/>
          <w:color w:val="auto"/>
          <w:sz w:val="18"/>
          <w:szCs w:val="18"/>
          <w:highlight w:val="none"/>
        </w:rPr>
      </w:pPr>
    </w:p>
    <w:p w14:paraId="474DE28E">
      <w:pPr>
        <w:keepNext w:val="0"/>
        <w:keepLines w:val="0"/>
        <w:pageBreakBefore w:val="0"/>
        <w:widowControl w:val="0"/>
        <w:kinsoku/>
        <w:wordWrap/>
        <w:overflowPunct/>
        <w:topLinePunct w:val="0"/>
        <w:autoSpaceDE/>
        <w:autoSpaceDN/>
        <w:bidi w:val="0"/>
        <w:adjustRightInd/>
        <w:snapToGrid/>
        <w:spacing w:line="360" w:lineRule="exact"/>
        <w:ind w:firstLine="900" w:firstLineChars="500"/>
        <w:textAlignment w:val="auto"/>
        <w:rPr>
          <w:rFonts w:hint="eastAsia"/>
          <w:color w:val="auto"/>
          <w:highlight w:val="none"/>
        </w:rPr>
      </w:pPr>
      <w:r>
        <w:rPr>
          <w:rFonts w:hint="eastAsia" w:ascii="黑体" w:hAnsi="黑体" w:eastAsia="黑体" w:cs="黑体"/>
          <w:b w:val="0"/>
          <w:bCs w:val="0"/>
          <w:color w:val="auto"/>
          <w:sz w:val="18"/>
          <w:szCs w:val="18"/>
          <w:highlight w:val="none"/>
        </w:rPr>
        <w:t>图</w:t>
      </w:r>
      <w:r>
        <w:rPr>
          <w:rFonts w:hint="eastAsia" w:ascii="黑体" w:hAnsi="黑体" w:eastAsia="黑体" w:cs="黑体"/>
          <w:b w:val="0"/>
          <w:bCs w:val="0"/>
          <w:color w:val="auto"/>
          <w:sz w:val="18"/>
          <w:szCs w:val="18"/>
          <w:highlight w:val="none"/>
          <w:lang w:val="en-US" w:eastAsia="zh-CN"/>
        </w:rPr>
        <w:t>J</w:t>
      </w:r>
      <w:r>
        <w:rPr>
          <w:b w:val="0"/>
          <w:bCs w:val="0"/>
          <w:color w:val="auto"/>
          <w:sz w:val="18"/>
          <w:szCs w:val="18"/>
          <w:highlight w:val="none"/>
        </w:rPr>
        <w:t>.2-1</w:t>
      </w:r>
      <w:r>
        <w:rPr>
          <w:rFonts w:hint="eastAsia" w:ascii="黑体" w:hAnsi="黑体" w:eastAsia="黑体" w:cs="黑体"/>
          <w:b w:val="0"/>
          <w:bCs w:val="0"/>
          <w:color w:val="auto"/>
          <w:sz w:val="18"/>
          <w:szCs w:val="18"/>
          <w:highlight w:val="none"/>
        </w:rPr>
        <w:t xml:space="preserve"> 应用农业部水土保持局（</w:t>
      </w:r>
      <w:r>
        <w:rPr>
          <w:rFonts w:eastAsia="黑体"/>
          <w:b w:val="0"/>
          <w:bCs w:val="0"/>
          <w:color w:val="auto"/>
          <w:sz w:val="18"/>
          <w:szCs w:val="18"/>
          <w:highlight w:val="none"/>
        </w:rPr>
        <w:t>SCS</w:t>
      </w:r>
      <w:r>
        <w:rPr>
          <w:rFonts w:hint="eastAsia" w:ascii="黑体" w:hAnsi="黑体" w:eastAsia="黑体" w:cs="黑体"/>
          <w:b w:val="0"/>
          <w:bCs w:val="0"/>
          <w:color w:val="auto"/>
          <w:sz w:val="18"/>
          <w:szCs w:val="18"/>
          <w:highlight w:val="none"/>
        </w:rPr>
        <w:t>）和美国农垦局（</w:t>
      </w:r>
      <w:r>
        <w:rPr>
          <w:rFonts w:eastAsia="黑体"/>
          <w:b w:val="0"/>
          <w:bCs w:val="0"/>
          <w:color w:val="auto"/>
          <w:sz w:val="18"/>
          <w:szCs w:val="18"/>
          <w:highlight w:val="none"/>
        </w:rPr>
        <w:t>USBR</w:t>
      </w:r>
      <w:r>
        <w:rPr>
          <w:rFonts w:hint="eastAsia" w:ascii="黑体" w:hAnsi="黑体" w:eastAsia="黑体" w:cs="黑体"/>
          <w:b w:val="0"/>
          <w:bCs w:val="0"/>
          <w:color w:val="auto"/>
          <w:sz w:val="18"/>
          <w:szCs w:val="18"/>
          <w:highlight w:val="none"/>
        </w:rPr>
        <w:t>）标准进行砂砾外包滤料设计图</w:t>
      </w:r>
    </w:p>
    <w:p w14:paraId="24BA78D5">
      <w:pPr>
        <w:pStyle w:val="137"/>
        <w:rPr>
          <w:rFonts w:hint="eastAsia"/>
          <w:color w:val="auto"/>
          <w:highlight w:val="none"/>
        </w:rPr>
      </w:pPr>
    </w:p>
    <w:p w14:paraId="6BD99C45">
      <w:pPr>
        <w:pStyle w:val="103"/>
        <w:rPr>
          <w:rFonts w:hint="eastAsia"/>
          <w:color w:val="auto"/>
          <w:highlight w:val="none"/>
        </w:rPr>
      </w:pPr>
    </w:p>
    <w:p w14:paraId="2C20C485">
      <w:pPr>
        <w:pStyle w:val="137"/>
        <w:rPr>
          <w:rFonts w:hint="eastAsia"/>
          <w:color w:val="auto"/>
          <w:highlight w:val="none"/>
        </w:rPr>
      </w:pPr>
    </w:p>
    <w:p w14:paraId="259D43A7">
      <w:pPr>
        <w:pStyle w:val="75"/>
        <w:rPr>
          <w:rFonts w:hint="eastAsia"/>
          <w:color w:val="auto"/>
          <w:highlight w:val="none"/>
        </w:rPr>
      </w:pPr>
      <w:r>
        <w:rPr>
          <w:color w:val="auto"/>
          <w:highlight w:val="none"/>
        </w:rPr>
        <w:br w:type="textWrapping"/>
      </w:r>
      <w:r>
        <w:rPr>
          <w:rFonts w:hint="eastAsia"/>
          <w:color w:val="auto"/>
          <w:highlight w:val="none"/>
        </w:rPr>
        <w:t>（资料性附录）</w:t>
      </w:r>
      <w:r>
        <w:rPr>
          <w:color w:val="auto"/>
          <w:highlight w:val="none"/>
        </w:rPr>
        <w:br w:type="textWrapping"/>
      </w:r>
      <w:r>
        <w:rPr>
          <w:rFonts w:hint="eastAsia"/>
          <w:color w:val="auto"/>
          <w:highlight w:val="none"/>
        </w:rPr>
        <w:t>管材规格尺寸与物理力学性能</w:t>
      </w:r>
    </w:p>
    <w:p w14:paraId="66F4B982">
      <w:pPr>
        <w:pStyle w:val="139"/>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ind w:left="1134"/>
        <w:jc w:val="right"/>
        <w:textAlignment w:val="auto"/>
        <w:rPr>
          <w:rFonts w:hint="eastAsia" w:ascii="宋体" w:eastAsia="宋体"/>
          <w:color w:val="auto"/>
          <w:sz w:val="18"/>
          <w:szCs w:val="18"/>
          <w:highlight w:val="none"/>
        </w:rPr>
      </w:pPr>
      <w:r>
        <w:rPr>
          <w:rFonts w:hint="eastAsia"/>
          <w:color w:val="auto"/>
          <w:highlight w:val="none"/>
        </w:rPr>
        <w:t xml:space="preserve">   </w:t>
      </w:r>
      <w:r>
        <w:rPr>
          <w:color w:val="auto"/>
          <w:sz w:val="18"/>
          <w:szCs w:val="18"/>
          <w:highlight w:val="none"/>
        </w:rPr>
        <w:t>表</w:t>
      </w:r>
      <w:r>
        <w:rPr>
          <w:rFonts w:hint="eastAsia"/>
          <w:color w:val="auto"/>
          <w:sz w:val="18"/>
          <w:szCs w:val="18"/>
          <w:highlight w:val="none"/>
          <w:lang w:val="en-US" w:eastAsia="zh-CN"/>
        </w:rPr>
        <w:t>K</w:t>
      </w:r>
      <w:r>
        <w:rPr>
          <w:color w:val="auto"/>
          <w:sz w:val="18"/>
          <w:szCs w:val="18"/>
          <w:highlight w:val="none"/>
        </w:rPr>
        <w:t>.</w:t>
      </w:r>
      <w:r>
        <w:rPr>
          <w:rFonts w:hint="eastAsia"/>
          <w:color w:val="auto"/>
          <w:sz w:val="18"/>
          <w:szCs w:val="18"/>
          <w:highlight w:val="none"/>
          <w:lang w:val="en-US" w:eastAsia="zh-CN"/>
        </w:rPr>
        <w:t>1</w:t>
      </w:r>
      <w:r>
        <w:rPr>
          <w:color w:val="auto"/>
          <w:sz w:val="18"/>
          <w:szCs w:val="18"/>
          <w:highlight w:val="none"/>
        </w:rPr>
        <w:t>-</w:t>
      </w:r>
      <w:r>
        <w:rPr>
          <w:rFonts w:hint="eastAsia"/>
          <w:color w:val="auto"/>
          <w:sz w:val="18"/>
          <w:szCs w:val="18"/>
          <w:highlight w:val="none"/>
        </w:rPr>
        <w:t xml:space="preserve">1 </w:t>
      </w:r>
      <w:r>
        <w:rPr>
          <w:color w:val="auto"/>
          <w:sz w:val="18"/>
          <w:szCs w:val="18"/>
          <w:highlight w:val="none"/>
        </w:rPr>
        <w:t xml:space="preserve">管材规格尺寸 </w:t>
      </w:r>
      <w:r>
        <w:rPr>
          <w:rFonts w:hint="eastAsia"/>
          <w:color w:val="auto"/>
          <w:sz w:val="18"/>
          <w:szCs w:val="18"/>
          <w:highlight w:val="none"/>
        </w:rPr>
        <w:t xml:space="preserve"> </w:t>
      </w:r>
      <w:r>
        <w:rPr>
          <w:color w:val="auto"/>
          <w:sz w:val="18"/>
          <w:szCs w:val="18"/>
          <w:highlight w:val="none"/>
        </w:rPr>
        <w:t xml:space="preserve">   </w:t>
      </w:r>
      <w:r>
        <w:rPr>
          <w:color w:val="auto"/>
          <w:highlight w:val="none"/>
        </w:rPr>
        <w:t xml:space="preserve">     </w:t>
      </w:r>
      <w:r>
        <w:rPr>
          <w:rFonts w:hint="eastAsia"/>
          <w:color w:val="auto"/>
          <w:highlight w:val="none"/>
        </w:rPr>
        <w:t xml:space="preserve">                </w:t>
      </w:r>
      <w:r>
        <w:rPr>
          <w:rFonts w:hint="eastAsia" w:ascii="宋体" w:eastAsia="宋体"/>
          <w:color w:val="auto"/>
          <w:sz w:val="18"/>
          <w:szCs w:val="18"/>
          <w:highlight w:val="none"/>
        </w:rPr>
        <w:t xml:space="preserve"> </w:t>
      </w:r>
      <w:r>
        <w:rPr>
          <w:rFonts w:ascii="宋体" w:eastAsia="宋体"/>
          <w:color w:val="auto"/>
          <w:sz w:val="18"/>
          <w:szCs w:val="18"/>
          <w:highlight w:val="none"/>
        </w:rPr>
        <w:t>单位</w:t>
      </w:r>
      <w:r>
        <w:rPr>
          <w:rFonts w:hint="eastAsia" w:ascii="宋体" w:eastAsia="宋体"/>
          <w:color w:val="auto"/>
          <w:sz w:val="18"/>
          <w:szCs w:val="18"/>
          <w:highlight w:val="none"/>
        </w:rPr>
        <w:t>：mm</w:t>
      </w:r>
    </w:p>
    <w:tbl>
      <w:tblPr>
        <w:tblStyle w:val="34"/>
        <w:tblW w:w="95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9"/>
        <w:gridCol w:w="2519"/>
        <w:gridCol w:w="2549"/>
        <w:gridCol w:w="2493"/>
      </w:tblGrid>
      <w:tr w14:paraId="22E1F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9" w:type="dxa"/>
            <w:vAlign w:val="center"/>
          </w:tcPr>
          <w:p w14:paraId="4C4EC2A4">
            <w:pPr>
              <w:jc w:val="center"/>
              <w:rPr>
                <w:rFonts w:hint="default" w:ascii="Times New Roman" w:hAnsi="Times New Roman" w:cs="Times New Roman"/>
                <w:color w:val="auto"/>
                <w:kern w:val="0"/>
                <w:sz w:val="18"/>
                <w:szCs w:val="18"/>
                <w:highlight w:val="none"/>
                <w:shd w:val="clear" w:color="auto" w:fill="auto"/>
              </w:rPr>
            </w:pPr>
            <w:r>
              <w:rPr>
                <w:rFonts w:hint="default" w:ascii="Times New Roman" w:hAnsi="Times New Roman" w:cs="Times New Roman"/>
                <w:color w:val="auto"/>
                <w:kern w:val="0"/>
                <w:sz w:val="18"/>
                <w:szCs w:val="18"/>
                <w:highlight w:val="none"/>
                <w:shd w:val="clear" w:color="auto" w:fill="auto"/>
              </w:rPr>
              <w:t>公称尺寸DN/OD</w:t>
            </w:r>
          </w:p>
        </w:tc>
        <w:tc>
          <w:tcPr>
            <w:tcW w:w="2519" w:type="dxa"/>
            <w:vAlign w:val="center"/>
          </w:tcPr>
          <w:p w14:paraId="188BC809">
            <w:pPr>
              <w:jc w:val="center"/>
              <w:rPr>
                <w:rFonts w:hint="default" w:ascii="Times New Roman" w:hAnsi="Times New Roman" w:cs="Times New Roman"/>
                <w:color w:val="auto"/>
                <w:kern w:val="0"/>
                <w:sz w:val="18"/>
                <w:szCs w:val="18"/>
                <w:highlight w:val="none"/>
                <w:shd w:val="clear" w:color="auto" w:fill="auto"/>
                <w:vertAlign w:val="subscript"/>
              </w:rPr>
            </w:pPr>
            <w:r>
              <w:rPr>
                <w:rFonts w:hint="default" w:ascii="Times New Roman" w:hAnsi="Times New Roman" w:cs="Times New Roman"/>
                <w:color w:val="auto"/>
                <w:sz w:val="18"/>
                <w:szCs w:val="18"/>
                <w:highlight w:val="none"/>
                <w:shd w:val="clear" w:color="auto" w:fill="auto"/>
              </w:rPr>
              <w:t>最小平均外径</w:t>
            </w:r>
            <w:r>
              <w:rPr>
                <w:rFonts w:hint="default" w:ascii="Times New Roman" w:hAnsi="Times New Roman" w:cs="Times New Roman"/>
                <w:color w:val="auto"/>
                <w:sz w:val="18"/>
                <w:szCs w:val="18"/>
                <w:highlight w:val="none"/>
                <w:shd w:val="clear" w:color="auto" w:fill="auto"/>
                <w:lang w:val="en-US" w:eastAsia="zh-CN"/>
              </w:rPr>
              <w:t>d</w:t>
            </w:r>
            <w:r>
              <w:rPr>
                <w:rFonts w:hint="default" w:ascii="Times New Roman" w:hAnsi="Times New Roman" w:cs="Times New Roman"/>
                <w:color w:val="auto"/>
                <w:sz w:val="18"/>
                <w:szCs w:val="18"/>
                <w:highlight w:val="none"/>
                <w:shd w:val="clear" w:color="auto" w:fill="auto"/>
                <w:vertAlign w:val="subscript"/>
                <w:lang w:val="en-US" w:eastAsia="zh-CN"/>
              </w:rPr>
              <w:t>emin</w:t>
            </w:r>
          </w:p>
        </w:tc>
        <w:tc>
          <w:tcPr>
            <w:tcW w:w="2549" w:type="dxa"/>
            <w:vAlign w:val="center"/>
          </w:tcPr>
          <w:p w14:paraId="705EFA8A">
            <w:pPr>
              <w:jc w:val="center"/>
              <w:rPr>
                <w:rFonts w:hint="default" w:ascii="Times New Roman" w:hAnsi="Times New Roman" w:cs="Times New Roman"/>
                <w:color w:val="auto"/>
                <w:kern w:val="0"/>
                <w:sz w:val="18"/>
                <w:szCs w:val="18"/>
                <w:highlight w:val="none"/>
                <w:shd w:val="clear" w:color="auto" w:fill="auto"/>
                <w:lang w:val="en-US"/>
              </w:rPr>
            </w:pPr>
            <w:r>
              <w:rPr>
                <w:rFonts w:hint="default" w:ascii="Times New Roman" w:hAnsi="Times New Roman" w:cs="Times New Roman"/>
                <w:color w:val="auto"/>
                <w:sz w:val="18"/>
                <w:szCs w:val="18"/>
                <w:highlight w:val="none"/>
                <w:shd w:val="clear" w:color="auto" w:fill="auto"/>
              </w:rPr>
              <w:t>最大平均外径</w:t>
            </w:r>
            <w:r>
              <w:rPr>
                <w:rFonts w:hint="default" w:ascii="Times New Roman" w:hAnsi="Times New Roman" w:cs="Times New Roman"/>
                <w:color w:val="auto"/>
                <w:sz w:val="18"/>
                <w:szCs w:val="18"/>
                <w:highlight w:val="none"/>
                <w:shd w:val="clear" w:color="auto" w:fill="auto"/>
                <w:lang w:val="en-US" w:eastAsia="zh-CN"/>
              </w:rPr>
              <w:t>d</w:t>
            </w:r>
            <w:r>
              <w:rPr>
                <w:rFonts w:hint="default" w:ascii="Times New Roman" w:hAnsi="Times New Roman" w:cs="Times New Roman"/>
                <w:color w:val="auto"/>
                <w:sz w:val="18"/>
                <w:szCs w:val="18"/>
                <w:highlight w:val="none"/>
                <w:shd w:val="clear" w:color="auto" w:fill="auto"/>
                <w:vertAlign w:val="subscript"/>
                <w:lang w:val="en-US" w:eastAsia="zh-CN"/>
              </w:rPr>
              <w:t>emax</w:t>
            </w:r>
          </w:p>
        </w:tc>
        <w:tc>
          <w:tcPr>
            <w:tcW w:w="2493" w:type="dxa"/>
            <w:vAlign w:val="center"/>
          </w:tcPr>
          <w:p w14:paraId="6D513783">
            <w:pPr>
              <w:jc w:val="center"/>
              <w:rPr>
                <w:rFonts w:hint="default" w:ascii="Times New Roman" w:hAnsi="Times New Roman" w:cs="Times New Roman"/>
                <w:color w:val="auto"/>
                <w:kern w:val="0"/>
                <w:sz w:val="18"/>
                <w:szCs w:val="18"/>
                <w:highlight w:val="none"/>
                <w:shd w:val="clear" w:color="auto" w:fill="auto"/>
              </w:rPr>
            </w:pPr>
            <w:r>
              <w:rPr>
                <w:rFonts w:hint="default" w:ascii="Times New Roman" w:hAnsi="Times New Roman" w:cs="Times New Roman"/>
                <w:color w:val="auto"/>
                <w:sz w:val="18"/>
                <w:szCs w:val="18"/>
                <w:highlight w:val="none"/>
                <w:shd w:val="clear" w:color="auto" w:fill="auto"/>
              </w:rPr>
              <w:t>最小平均内径</w:t>
            </w:r>
            <w:r>
              <w:rPr>
                <w:rFonts w:hint="default" w:ascii="Times New Roman" w:hAnsi="Times New Roman" w:cs="Times New Roman"/>
                <w:color w:val="auto"/>
                <w:sz w:val="18"/>
                <w:szCs w:val="18"/>
                <w:highlight w:val="none"/>
                <w:shd w:val="clear" w:color="auto" w:fill="auto"/>
                <w:lang w:val="en-US" w:eastAsia="zh-CN"/>
              </w:rPr>
              <w:t>d</w:t>
            </w:r>
            <w:r>
              <w:rPr>
                <w:rFonts w:hint="default" w:ascii="Times New Roman" w:hAnsi="Times New Roman" w:cs="Times New Roman"/>
                <w:color w:val="auto"/>
                <w:sz w:val="18"/>
                <w:szCs w:val="18"/>
                <w:highlight w:val="none"/>
                <w:shd w:val="clear" w:color="auto" w:fill="auto"/>
                <w:vertAlign w:val="subscript"/>
                <w:lang w:val="en-US" w:eastAsia="zh-CN"/>
              </w:rPr>
              <w:t>imin</w:t>
            </w:r>
          </w:p>
        </w:tc>
      </w:tr>
      <w:tr w14:paraId="6CAF6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009" w:type="dxa"/>
            <w:vAlign w:val="center"/>
          </w:tcPr>
          <w:p w14:paraId="0B198645">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（60）</w:t>
            </w:r>
          </w:p>
        </w:tc>
        <w:tc>
          <w:tcPr>
            <w:tcW w:w="2519" w:type="dxa"/>
            <w:vAlign w:val="center"/>
          </w:tcPr>
          <w:p w14:paraId="2F205156">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59.5</w:t>
            </w:r>
          </w:p>
        </w:tc>
        <w:tc>
          <w:tcPr>
            <w:tcW w:w="2549" w:type="dxa"/>
            <w:vAlign w:val="center"/>
          </w:tcPr>
          <w:p w14:paraId="1F349A02">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60.5</w:t>
            </w:r>
          </w:p>
        </w:tc>
        <w:tc>
          <w:tcPr>
            <w:tcW w:w="2493" w:type="dxa"/>
            <w:vAlign w:val="center"/>
          </w:tcPr>
          <w:p w14:paraId="55F8F27E">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52</w:t>
            </w:r>
          </w:p>
        </w:tc>
      </w:tr>
      <w:tr w14:paraId="4DAA5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9" w:type="dxa"/>
            <w:vAlign w:val="center"/>
          </w:tcPr>
          <w:p w14:paraId="3767CEA1">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63</w:t>
            </w:r>
          </w:p>
        </w:tc>
        <w:tc>
          <w:tcPr>
            <w:tcW w:w="2519" w:type="dxa"/>
            <w:vAlign w:val="center"/>
          </w:tcPr>
          <w:p w14:paraId="2EDA65CD">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62.5</w:t>
            </w:r>
          </w:p>
        </w:tc>
        <w:tc>
          <w:tcPr>
            <w:tcW w:w="2549" w:type="dxa"/>
            <w:vAlign w:val="center"/>
          </w:tcPr>
          <w:p w14:paraId="094D5141">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63.5</w:t>
            </w:r>
          </w:p>
        </w:tc>
        <w:tc>
          <w:tcPr>
            <w:tcW w:w="2493" w:type="dxa"/>
            <w:vAlign w:val="center"/>
          </w:tcPr>
          <w:p w14:paraId="5A5711E8">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54</w:t>
            </w:r>
          </w:p>
        </w:tc>
      </w:tr>
      <w:tr w14:paraId="0BE5A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9" w:type="dxa"/>
            <w:vAlign w:val="center"/>
          </w:tcPr>
          <w:p w14:paraId="5FE2F9F3">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（65）</w:t>
            </w:r>
          </w:p>
        </w:tc>
        <w:tc>
          <w:tcPr>
            <w:tcW w:w="2519" w:type="dxa"/>
            <w:vAlign w:val="center"/>
          </w:tcPr>
          <w:p w14:paraId="30B0A459">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64.5</w:t>
            </w:r>
          </w:p>
        </w:tc>
        <w:tc>
          <w:tcPr>
            <w:tcW w:w="2549" w:type="dxa"/>
            <w:vAlign w:val="center"/>
          </w:tcPr>
          <w:p w14:paraId="01B4AACE">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65.5</w:t>
            </w:r>
          </w:p>
        </w:tc>
        <w:tc>
          <w:tcPr>
            <w:tcW w:w="2493" w:type="dxa"/>
            <w:vAlign w:val="center"/>
          </w:tcPr>
          <w:p w14:paraId="47A5BBD8">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58</w:t>
            </w:r>
          </w:p>
        </w:tc>
      </w:tr>
      <w:tr w14:paraId="78DD0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9" w:type="dxa"/>
            <w:vAlign w:val="center"/>
          </w:tcPr>
          <w:p w14:paraId="131424B3">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75</w:t>
            </w:r>
          </w:p>
        </w:tc>
        <w:tc>
          <w:tcPr>
            <w:tcW w:w="2519" w:type="dxa"/>
            <w:vAlign w:val="center"/>
          </w:tcPr>
          <w:p w14:paraId="2C67AF2E">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74.5</w:t>
            </w:r>
          </w:p>
        </w:tc>
        <w:tc>
          <w:tcPr>
            <w:tcW w:w="2549" w:type="dxa"/>
            <w:vAlign w:val="center"/>
          </w:tcPr>
          <w:p w14:paraId="53253583">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75.5</w:t>
            </w:r>
          </w:p>
        </w:tc>
        <w:tc>
          <w:tcPr>
            <w:tcW w:w="2493" w:type="dxa"/>
            <w:vAlign w:val="center"/>
          </w:tcPr>
          <w:p w14:paraId="080C2374">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65</w:t>
            </w:r>
          </w:p>
        </w:tc>
      </w:tr>
      <w:tr w14:paraId="0010B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9" w:type="dxa"/>
            <w:vAlign w:val="center"/>
          </w:tcPr>
          <w:p w14:paraId="4D3D27C7">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（80）</w:t>
            </w:r>
          </w:p>
        </w:tc>
        <w:tc>
          <w:tcPr>
            <w:tcW w:w="2519" w:type="dxa"/>
            <w:vAlign w:val="center"/>
          </w:tcPr>
          <w:p w14:paraId="2D8CBBEA">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79.5</w:t>
            </w:r>
          </w:p>
        </w:tc>
        <w:tc>
          <w:tcPr>
            <w:tcW w:w="2549" w:type="dxa"/>
            <w:vAlign w:val="center"/>
          </w:tcPr>
          <w:p w14:paraId="2D7DBDBB">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80.5</w:t>
            </w:r>
          </w:p>
        </w:tc>
        <w:tc>
          <w:tcPr>
            <w:tcW w:w="2493" w:type="dxa"/>
            <w:vAlign w:val="center"/>
          </w:tcPr>
          <w:p w14:paraId="1B713E64">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72</w:t>
            </w:r>
          </w:p>
        </w:tc>
      </w:tr>
      <w:tr w14:paraId="1ED5D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9" w:type="dxa"/>
            <w:vAlign w:val="center"/>
          </w:tcPr>
          <w:p w14:paraId="3387771E">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90</w:t>
            </w:r>
          </w:p>
        </w:tc>
        <w:tc>
          <w:tcPr>
            <w:tcW w:w="2519" w:type="dxa"/>
            <w:vAlign w:val="center"/>
          </w:tcPr>
          <w:p w14:paraId="754FAD44">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89.5</w:t>
            </w:r>
          </w:p>
        </w:tc>
        <w:tc>
          <w:tcPr>
            <w:tcW w:w="2549" w:type="dxa"/>
            <w:vAlign w:val="center"/>
          </w:tcPr>
          <w:p w14:paraId="355EE072">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90.5</w:t>
            </w:r>
          </w:p>
        </w:tc>
        <w:tc>
          <w:tcPr>
            <w:tcW w:w="2493" w:type="dxa"/>
            <w:vAlign w:val="center"/>
          </w:tcPr>
          <w:p w14:paraId="4CA9A6EB">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77</w:t>
            </w:r>
          </w:p>
        </w:tc>
      </w:tr>
      <w:tr w14:paraId="21A6A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9" w:type="dxa"/>
            <w:vAlign w:val="center"/>
          </w:tcPr>
          <w:p w14:paraId="5C2CAE6E">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（100）</w:t>
            </w:r>
          </w:p>
        </w:tc>
        <w:tc>
          <w:tcPr>
            <w:tcW w:w="2519" w:type="dxa"/>
            <w:vAlign w:val="center"/>
          </w:tcPr>
          <w:p w14:paraId="3E4DA5AE">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99.5</w:t>
            </w:r>
          </w:p>
        </w:tc>
        <w:tc>
          <w:tcPr>
            <w:tcW w:w="2549" w:type="dxa"/>
            <w:vAlign w:val="center"/>
          </w:tcPr>
          <w:p w14:paraId="71C4F105">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100.5</w:t>
            </w:r>
          </w:p>
        </w:tc>
        <w:tc>
          <w:tcPr>
            <w:tcW w:w="2493" w:type="dxa"/>
            <w:vAlign w:val="center"/>
          </w:tcPr>
          <w:p w14:paraId="2FFE8ACC">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87</w:t>
            </w:r>
          </w:p>
        </w:tc>
      </w:tr>
      <w:tr w14:paraId="0FBAB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9" w:type="dxa"/>
            <w:vAlign w:val="center"/>
          </w:tcPr>
          <w:p w14:paraId="5CAF7528">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110</w:t>
            </w:r>
          </w:p>
        </w:tc>
        <w:tc>
          <w:tcPr>
            <w:tcW w:w="2519" w:type="dxa"/>
            <w:vAlign w:val="center"/>
          </w:tcPr>
          <w:p w14:paraId="034D2163">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109.5</w:t>
            </w:r>
          </w:p>
        </w:tc>
        <w:tc>
          <w:tcPr>
            <w:tcW w:w="2549" w:type="dxa"/>
            <w:vAlign w:val="center"/>
          </w:tcPr>
          <w:p w14:paraId="0F00810D">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110.5</w:t>
            </w:r>
          </w:p>
        </w:tc>
        <w:tc>
          <w:tcPr>
            <w:tcW w:w="2493" w:type="dxa"/>
            <w:vAlign w:val="center"/>
          </w:tcPr>
          <w:p w14:paraId="1D66C1E6">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97</w:t>
            </w:r>
          </w:p>
        </w:tc>
      </w:tr>
      <w:tr w14:paraId="394FE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9" w:type="dxa"/>
            <w:vAlign w:val="center"/>
          </w:tcPr>
          <w:p w14:paraId="77FAE19B">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125</w:t>
            </w:r>
          </w:p>
        </w:tc>
        <w:tc>
          <w:tcPr>
            <w:tcW w:w="2519" w:type="dxa"/>
            <w:vAlign w:val="center"/>
          </w:tcPr>
          <w:p w14:paraId="732115A1">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124</w:t>
            </w:r>
          </w:p>
        </w:tc>
        <w:tc>
          <w:tcPr>
            <w:tcW w:w="2549" w:type="dxa"/>
            <w:vAlign w:val="center"/>
          </w:tcPr>
          <w:p w14:paraId="18B60309">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125.5</w:t>
            </w:r>
          </w:p>
        </w:tc>
        <w:tc>
          <w:tcPr>
            <w:tcW w:w="2493" w:type="dxa"/>
            <w:vAlign w:val="center"/>
          </w:tcPr>
          <w:p w14:paraId="6BBF3E1A">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115</w:t>
            </w:r>
          </w:p>
        </w:tc>
      </w:tr>
      <w:tr w14:paraId="348E0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9" w:type="dxa"/>
            <w:vAlign w:val="center"/>
          </w:tcPr>
          <w:p w14:paraId="420B2F0E">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160</w:t>
            </w:r>
          </w:p>
        </w:tc>
        <w:tc>
          <w:tcPr>
            <w:tcW w:w="2519" w:type="dxa"/>
            <w:vAlign w:val="center"/>
          </w:tcPr>
          <w:p w14:paraId="19B74E6F">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159</w:t>
            </w:r>
          </w:p>
        </w:tc>
        <w:tc>
          <w:tcPr>
            <w:tcW w:w="2549" w:type="dxa"/>
            <w:vAlign w:val="center"/>
          </w:tcPr>
          <w:p w14:paraId="192DA441">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160.5</w:t>
            </w:r>
          </w:p>
        </w:tc>
        <w:tc>
          <w:tcPr>
            <w:tcW w:w="2493" w:type="dxa"/>
            <w:vAlign w:val="center"/>
          </w:tcPr>
          <w:p w14:paraId="04E021FF">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144</w:t>
            </w:r>
          </w:p>
        </w:tc>
      </w:tr>
      <w:tr w14:paraId="665AF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9" w:type="dxa"/>
            <w:vAlign w:val="center"/>
          </w:tcPr>
          <w:p w14:paraId="07377D65">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200</w:t>
            </w:r>
          </w:p>
        </w:tc>
        <w:tc>
          <w:tcPr>
            <w:tcW w:w="2519" w:type="dxa"/>
            <w:vAlign w:val="center"/>
          </w:tcPr>
          <w:p w14:paraId="1F4E6BA2">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199</w:t>
            </w:r>
          </w:p>
        </w:tc>
        <w:tc>
          <w:tcPr>
            <w:tcW w:w="2549" w:type="dxa"/>
            <w:vAlign w:val="center"/>
          </w:tcPr>
          <w:p w14:paraId="1F8DD6C8">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200.5</w:t>
            </w:r>
          </w:p>
        </w:tc>
        <w:tc>
          <w:tcPr>
            <w:tcW w:w="2493" w:type="dxa"/>
            <w:vAlign w:val="center"/>
          </w:tcPr>
          <w:p w14:paraId="43AB1F4E">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182</w:t>
            </w:r>
          </w:p>
        </w:tc>
      </w:tr>
      <w:tr w14:paraId="29653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9570" w:type="dxa"/>
            <w:gridSpan w:val="4"/>
            <w:vAlign w:val="center"/>
          </w:tcPr>
          <w:p w14:paraId="199B8652">
            <w:pPr>
              <w:pStyle w:val="101"/>
              <w:numPr>
                <w:ilvl w:val="0"/>
                <w:numId w:val="0"/>
              </w:numPr>
              <w:ind w:leftChars="0"/>
              <w:jc w:val="both"/>
              <w:rPr>
                <w:rFonts w:hint="eastAsia"/>
                <w:color w:val="auto"/>
                <w:highlight w:val="none"/>
              </w:rPr>
            </w:pPr>
            <w:r>
              <w:rPr>
                <w:rFonts w:hint="eastAsia"/>
                <w:b/>
                <w:bCs/>
                <w:color w:val="auto"/>
                <w:highlight w:val="none"/>
                <w:lang w:val="en-US" w:eastAsia="zh-CN"/>
              </w:rPr>
              <w:t>注：</w:t>
            </w:r>
            <w:r>
              <w:rPr>
                <w:b/>
                <w:bCs/>
                <w:color w:val="auto"/>
                <w:highlight w:val="none"/>
              </w:rPr>
              <w:t>括号内尺寸为非首选尺寸</w:t>
            </w:r>
          </w:p>
        </w:tc>
      </w:tr>
    </w:tbl>
    <w:p w14:paraId="2E4AC26D">
      <w:pPr>
        <w:pStyle w:val="139"/>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ind w:left="3260" w:firstLine="360" w:firstLineChars="200"/>
        <w:jc w:val="both"/>
        <w:textAlignment w:val="auto"/>
        <w:rPr>
          <w:rFonts w:hint="eastAsia"/>
          <w:color w:val="auto"/>
          <w:sz w:val="18"/>
          <w:szCs w:val="18"/>
          <w:highlight w:val="none"/>
        </w:rPr>
      </w:pPr>
      <w:r>
        <w:rPr>
          <w:color w:val="auto"/>
          <w:sz w:val="18"/>
          <w:szCs w:val="18"/>
          <w:highlight w:val="none"/>
        </w:rPr>
        <w:t>表</w:t>
      </w:r>
      <w:r>
        <w:rPr>
          <w:rFonts w:hint="eastAsia"/>
          <w:color w:val="auto"/>
          <w:sz w:val="18"/>
          <w:szCs w:val="18"/>
          <w:highlight w:val="none"/>
          <w:lang w:val="en-US" w:eastAsia="zh-CN"/>
        </w:rPr>
        <w:t>K</w:t>
      </w:r>
      <w:r>
        <w:rPr>
          <w:color w:val="auto"/>
          <w:sz w:val="18"/>
          <w:szCs w:val="18"/>
          <w:highlight w:val="none"/>
        </w:rPr>
        <w:t>.</w:t>
      </w:r>
      <w:r>
        <w:rPr>
          <w:rFonts w:hint="eastAsia"/>
          <w:color w:val="auto"/>
          <w:sz w:val="18"/>
          <w:szCs w:val="18"/>
          <w:highlight w:val="none"/>
          <w:lang w:val="en-US" w:eastAsia="zh-CN"/>
        </w:rPr>
        <w:t>1</w:t>
      </w:r>
      <w:r>
        <w:rPr>
          <w:color w:val="auto"/>
          <w:sz w:val="18"/>
          <w:szCs w:val="18"/>
          <w:highlight w:val="none"/>
        </w:rPr>
        <w:t>-</w:t>
      </w:r>
      <w:r>
        <w:rPr>
          <w:rFonts w:hint="eastAsia"/>
          <w:color w:val="auto"/>
          <w:sz w:val="18"/>
          <w:szCs w:val="18"/>
          <w:highlight w:val="none"/>
        </w:rPr>
        <w:t xml:space="preserve">2 </w:t>
      </w:r>
      <w:r>
        <w:rPr>
          <w:color w:val="auto"/>
          <w:sz w:val="18"/>
          <w:szCs w:val="18"/>
          <w:highlight w:val="none"/>
        </w:rPr>
        <w:t>管材</w:t>
      </w:r>
      <w:r>
        <w:rPr>
          <w:rFonts w:hint="eastAsia"/>
          <w:color w:val="auto"/>
          <w:sz w:val="18"/>
          <w:szCs w:val="18"/>
          <w:highlight w:val="none"/>
        </w:rPr>
        <w:t>物理力学性能</w:t>
      </w:r>
    </w:p>
    <w:tbl>
      <w:tblPr>
        <w:tblStyle w:val="34"/>
        <w:tblW w:w="95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86"/>
        <w:gridCol w:w="3363"/>
        <w:gridCol w:w="3121"/>
      </w:tblGrid>
      <w:tr w14:paraId="66B70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86" w:type="dxa"/>
            <w:vAlign w:val="center"/>
          </w:tcPr>
          <w:p w14:paraId="56A0464A">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项    目</w:t>
            </w:r>
          </w:p>
        </w:tc>
        <w:tc>
          <w:tcPr>
            <w:tcW w:w="3363" w:type="dxa"/>
            <w:vAlign w:val="center"/>
          </w:tcPr>
          <w:p w14:paraId="1FB76D7E">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指    标</w:t>
            </w:r>
          </w:p>
        </w:tc>
        <w:tc>
          <w:tcPr>
            <w:tcW w:w="3121" w:type="dxa"/>
            <w:vAlign w:val="center"/>
          </w:tcPr>
          <w:p w14:paraId="702DC5A6">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检 验 方 法</w:t>
            </w:r>
          </w:p>
        </w:tc>
      </w:tr>
      <w:tr w14:paraId="03A7C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86" w:type="dxa"/>
            <w:vAlign w:val="center"/>
          </w:tcPr>
          <w:p w14:paraId="43CE9248">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环刚度/（kN/m</w:t>
            </w:r>
            <w:r>
              <w:rPr>
                <w:rFonts w:hint="default" w:ascii="Times New Roman" w:hAnsi="Times New Roman" w:cs="Times New Roman"/>
                <w:color w:val="auto"/>
                <w:kern w:val="0"/>
                <w:sz w:val="18"/>
                <w:szCs w:val="18"/>
                <w:highlight w:val="none"/>
                <w:vertAlign w:val="superscript"/>
              </w:rPr>
              <w:t>2</w:t>
            </w:r>
            <w:r>
              <w:rPr>
                <w:rFonts w:hint="default" w:ascii="Times New Roman" w:hAnsi="Times New Roman" w:cs="Times New Roman"/>
                <w:color w:val="auto"/>
                <w:kern w:val="0"/>
                <w:sz w:val="18"/>
                <w:szCs w:val="18"/>
                <w:highlight w:val="none"/>
              </w:rPr>
              <w:t>）</w:t>
            </w:r>
          </w:p>
        </w:tc>
        <w:tc>
          <w:tcPr>
            <w:tcW w:w="3363" w:type="dxa"/>
            <w:vAlign w:val="center"/>
          </w:tcPr>
          <w:p w14:paraId="2944CD52">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≥2.0</w:t>
            </w:r>
          </w:p>
        </w:tc>
        <w:tc>
          <w:tcPr>
            <w:tcW w:w="3121" w:type="dxa"/>
            <w:vAlign w:val="center"/>
          </w:tcPr>
          <w:p w14:paraId="2CC4ED24">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6.5</w:t>
            </w:r>
          </w:p>
        </w:tc>
      </w:tr>
      <w:tr w14:paraId="60455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86" w:type="dxa"/>
            <w:vAlign w:val="center"/>
          </w:tcPr>
          <w:p w14:paraId="5237E445">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扁平试验</w:t>
            </w:r>
          </w:p>
        </w:tc>
        <w:tc>
          <w:tcPr>
            <w:tcW w:w="3363" w:type="dxa"/>
            <w:vAlign w:val="center"/>
          </w:tcPr>
          <w:p w14:paraId="5E0CBD6E">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无裂缝</w:t>
            </w:r>
          </w:p>
        </w:tc>
        <w:tc>
          <w:tcPr>
            <w:tcW w:w="3121" w:type="dxa"/>
            <w:vAlign w:val="center"/>
          </w:tcPr>
          <w:p w14:paraId="55C30FF7">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6.6</w:t>
            </w:r>
          </w:p>
        </w:tc>
      </w:tr>
      <w:tr w14:paraId="72A47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86" w:type="dxa"/>
            <w:vAlign w:val="center"/>
          </w:tcPr>
          <w:p w14:paraId="3C9F2C7B">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落锤冲击（0°C）</w:t>
            </w:r>
          </w:p>
        </w:tc>
        <w:tc>
          <w:tcPr>
            <w:tcW w:w="3363" w:type="dxa"/>
            <w:vAlign w:val="center"/>
          </w:tcPr>
          <w:p w14:paraId="5569B66C">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9/10不破裂</w:t>
            </w:r>
          </w:p>
        </w:tc>
        <w:tc>
          <w:tcPr>
            <w:tcW w:w="3121" w:type="dxa"/>
            <w:vAlign w:val="center"/>
          </w:tcPr>
          <w:p w14:paraId="08D168EB">
            <w:pPr>
              <w:jc w:val="center"/>
              <w:rPr>
                <w:rFonts w:hint="default" w:ascii="Times New Roman" w:hAnsi="Times New Roman" w:cs="Times New Roman"/>
                <w:color w:val="auto"/>
                <w:kern w:val="0"/>
                <w:sz w:val="18"/>
                <w:szCs w:val="18"/>
                <w:highlight w:val="none"/>
              </w:rPr>
            </w:pPr>
            <w:r>
              <w:rPr>
                <w:rFonts w:hint="default" w:ascii="Times New Roman" w:hAnsi="Times New Roman" w:cs="Times New Roman"/>
                <w:color w:val="auto"/>
                <w:kern w:val="0"/>
                <w:sz w:val="18"/>
                <w:szCs w:val="18"/>
                <w:highlight w:val="none"/>
              </w:rPr>
              <w:t>6.7</w:t>
            </w:r>
          </w:p>
        </w:tc>
      </w:tr>
    </w:tbl>
    <w:p w14:paraId="6BF4690C">
      <w:pPr>
        <w:ind w:firstLine="361" w:firstLineChars="200"/>
        <w:jc w:val="center"/>
        <w:rPr>
          <w:rFonts w:hint="eastAsia" w:cs="宋体"/>
          <w:b/>
          <w:color w:val="auto"/>
          <w:kern w:val="0"/>
          <w:sz w:val="18"/>
          <w:szCs w:val="18"/>
          <w:highlight w:val="none"/>
        </w:rPr>
      </w:pPr>
    </w:p>
    <w:p w14:paraId="5046E03B">
      <w:pPr>
        <w:jc w:val="center"/>
        <w:outlineLvl w:val="0"/>
        <w:rPr>
          <w:rFonts w:hint="eastAsia"/>
          <w:b/>
          <w:bCs/>
          <w:color w:val="auto"/>
          <w:kern w:val="44"/>
          <w:sz w:val="32"/>
          <w:highlight w:val="none"/>
        </w:rPr>
      </w:pPr>
    </w:p>
    <w:p w14:paraId="3B716399">
      <w:pPr>
        <w:jc w:val="center"/>
        <w:outlineLvl w:val="0"/>
        <w:rPr>
          <w:rFonts w:hint="eastAsia"/>
          <w:b/>
          <w:bCs/>
          <w:color w:val="auto"/>
          <w:kern w:val="44"/>
          <w:sz w:val="32"/>
          <w:highlight w:val="none"/>
        </w:rPr>
      </w:pPr>
    </w:p>
    <w:p w14:paraId="4704CB0C">
      <w:pPr>
        <w:jc w:val="center"/>
        <w:outlineLvl w:val="0"/>
        <w:rPr>
          <w:rFonts w:hint="eastAsia"/>
          <w:b/>
          <w:bCs/>
          <w:color w:val="auto"/>
          <w:kern w:val="44"/>
          <w:sz w:val="32"/>
          <w:highlight w:val="none"/>
        </w:rPr>
      </w:pPr>
    </w:p>
    <w:p w14:paraId="1AB58A91">
      <w:pPr>
        <w:jc w:val="center"/>
        <w:outlineLvl w:val="0"/>
        <w:rPr>
          <w:rFonts w:hint="eastAsia"/>
          <w:b/>
          <w:bCs/>
          <w:color w:val="auto"/>
          <w:kern w:val="44"/>
          <w:sz w:val="32"/>
          <w:highlight w:val="none"/>
        </w:rPr>
      </w:pPr>
    </w:p>
    <w:p w14:paraId="4F9145CF">
      <w:pPr>
        <w:jc w:val="center"/>
        <w:outlineLvl w:val="0"/>
        <w:rPr>
          <w:rFonts w:hint="eastAsia"/>
          <w:b/>
          <w:bCs/>
          <w:color w:val="auto"/>
          <w:kern w:val="44"/>
          <w:sz w:val="32"/>
          <w:highlight w:val="none"/>
        </w:rPr>
      </w:pPr>
    </w:p>
    <w:p w14:paraId="172606C3">
      <w:pPr>
        <w:rPr>
          <w:color w:val="auto"/>
          <w:highlight w:val="none"/>
        </w:rPr>
      </w:pPr>
    </w:p>
    <w:p w14:paraId="0FB9F01C">
      <w:pPr>
        <w:pStyle w:val="103"/>
        <w:rPr>
          <w:rFonts w:hint="eastAsia"/>
          <w:color w:val="auto"/>
          <w:highlight w:val="none"/>
        </w:rPr>
      </w:pPr>
    </w:p>
    <w:p w14:paraId="7AEB1855">
      <w:pPr>
        <w:pStyle w:val="137"/>
        <w:rPr>
          <w:rFonts w:hint="eastAsia"/>
          <w:color w:val="auto"/>
          <w:highlight w:val="none"/>
        </w:rPr>
      </w:pPr>
    </w:p>
    <w:p w14:paraId="232F287A">
      <w:pPr>
        <w:pStyle w:val="75"/>
        <w:rPr>
          <w:rFonts w:hint="eastAsia"/>
          <w:color w:val="auto"/>
          <w:highlight w:val="none"/>
        </w:rPr>
      </w:pPr>
      <w:r>
        <w:rPr>
          <w:color w:val="auto"/>
          <w:highlight w:val="none"/>
        </w:rPr>
        <w:br w:type="textWrapping"/>
      </w:r>
      <w:bookmarkStart w:id="430" w:name="_Toc522140532"/>
      <w:bookmarkStart w:id="431" w:name="_Toc299889802"/>
      <w:bookmarkStart w:id="432" w:name="_Toc520823504"/>
      <w:r>
        <w:rPr>
          <w:rFonts w:hint="eastAsia"/>
          <w:color w:val="auto"/>
          <w:highlight w:val="none"/>
        </w:rPr>
        <w:t>（资料性附录）</w:t>
      </w:r>
      <w:r>
        <w:rPr>
          <w:color w:val="auto"/>
          <w:highlight w:val="none"/>
        </w:rPr>
        <w:br w:type="textWrapping"/>
      </w:r>
      <w:r>
        <w:rPr>
          <w:rFonts w:hint="eastAsia"/>
          <w:color w:val="auto"/>
          <w:highlight w:val="none"/>
        </w:rPr>
        <w:t>暗管清淤机的操作要点</w:t>
      </w:r>
      <w:bookmarkEnd w:id="430"/>
      <w:bookmarkEnd w:id="431"/>
      <w:bookmarkEnd w:id="432"/>
    </w:p>
    <w:p w14:paraId="0D791385">
      <w:pPr>
        <w:keepNext w:val="0"/>
        <w:keepLines w:val="0"/>
        <w:pageBreakBefore w:val="0"/>
        <w:numPr>
          <w:ilvl w:val="0"/>
          <w:numId w:val="0"/>
        </w:numPr>
        <w:kinsoku/>
        <w:wordWrap/>
        <w:overflowPunct/>
        <w:topLinePunct w:val="0"/>
        <w:autoSpaceDE/>
        <w:autoSpaceDN/>
        <w:bidi w:val="0"/>
        <w:adjustRightInd/>
        <w:snapToGrid/>
        <w:spacing w:line="240" w:lineRule="auto"/>
        <w:ind w:leftChars="0"/>
        <w:jc w:val="left"/>
        <w:textAlignment w:val="auto"/>
        <w:rPr>
          <w:rFonts w:hint="default" w:ascii="Times New Roman" w:hAnsi="Times New Roman" w:eastAsia="宋体" w:cs="Times New Roman"/>
          <w:color w:val="auto"/>
          <w:szCs w:val="21"/>
          <w:highlight w:val="none"/>
        </w:rPr>
      </w:pPr>
      <w:r>
        <w:rPr>
          <w:rFonts w:hint="eastAsia" w:ascii="宋体" w:hAnsi="宋体" w:eastAsia="宋体" w:cs="宋体"/>
          <w:b/>
          <w:bCs/>
          <w:color w:val="auto"/>
          <w:szCs w:val="21"/>
          <w:highlight w:val="none"/>
          <w:lang w:val="en-US" w:eastAsia="zh-CN"/>
        </w:rPr>
        <w:t>L.1</w:t>
      </w:r>
      <w:r>
        <w:rPr>
          <w:rFonts w:hint="default" w:ascii="Times New Roman" w:hAnsi="Times New Roman" w:eastAsia="宋体" w:cs="Times New Roman"/>
          <w:color w:val="auto"/>
          <w:szCs w:val="21"/>
          <w:highlight w:val="none"/>
        </w:rPr>
        <w:t>准备工作</w:t>
      </w:r>
    </w:p>
    <w:p w14:paraId="2C0C4619">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1</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冲洗水源要清洁、水量丰富，可就近利用排水沟的水（没有水源则需要水车提供冲洗水）；</w:t>
      </w:r>
    </w:p>
    <w:p w14:paraId="17D06CD5">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2</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清洗机位于管道口正上方，先将带过滤罩的给水管放入水中，再将回水管也放入排水沟中，最后将HPE管清洗枪头放入暗管出口中50cm。</w:t>
      </w:r>
    </w:p>
    <w:p w14:paraId="53FAB45A">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szCs w:val="21"/>
          <w:highlight w:val="none"/>
        </w:rPr>
      </w:pPr>
      <w:r>
        <w:rPr>
          <w:rFonts w:hint="eastAsia" w:ascii="宋体" w:hAnsi="宋体" w:eastAsia="宋体" w:cs="宋体"/>
          <w:b/>
          <w:bCs/>
          <w:color w:val="auto"/>
          <w:szCs w:val="21"/>
          <w:highlight w:val="none"/>
          <w:lang w:val="en-US" w:eastAsia="zh-CN"/>
        </w:rPr>
        <w:t>L</w:t>
      </w:r>
      <w:r>
        <w:rPr>
          <w:rFonts w:hint="eastAsia" w:ascii="宋体" w:hAnsi="宋体" w:eastAsia="宋体" w:cs="宋体"/>
          <w:b/>
          <w:bCs/>
          <w:color w:val="auto"/>
          <w:szCs w:val="21"/>
          <w:highlight w:val="none"/>
        </w:rPr>
        <w:t>.2</w:t>
      </w:r>
      <w:r>
        <w:rPr>
          <w:rFonts w:hint="default" w:ascii="Times New Roman" w:hAnsi="Times New Roman" w:eastAsia="宋体" w:cs="Times New Roman"/>
          <w:color w:val="auto"/>
          <w:szCs w:val="21"/>
          <w:highlight w:val="none"/>
        </w:rPr>
        <w:t xml:space="preserve"> 清淤机械的连接与启动</w:t>
      </w:r>
    </w:p>
    <w:p w14:paraId="77EA6777">
      <w:pPr>
        <w:keepNext w:val="0"/>
        <w:keepLines w:val="0"/>
        <w:pageBreakBefore w:val="0"/>
        <w:kinsoku/>
        <w:wordWrap/>
        <w:overflowPunct/>
        <w:topLinePunct w:val="0"/>
        <w:autoSpaceDE/>
        <w:autoSpaceDN/>
        <w:bidi w:val="0"/>
        <w:adjustRightInd/>
        <w:snapToGrid/>
        <w:spacing w:line="240" w:lineRule="auto"/>
        <w:ind w:firstLine="420" w:firstLineChars="200"/>
        <w:jc w:val="left"/>
        <w:textAlignment w:val="auto"/>
        <w:rPr>
          <w:rFonts w:hint="default" w:ascii="Times New Roman" w:hAnsi="Times New Roman" w:eastAsia="宋体" w:cs="Times New Roman"/>
          <w:color w:val="auto"/>
          <w:szCs w:val="21"/>
          <w:highlight w:val="none"/>
        </w:rPr>
      </w:pPr>
      <w:r>
        <w:rPr>
          <w:rFonts w:hint="default" w:ascii="Times New Roman" w:hAnsi="Times New Roman" w:eastAsia="宋体" w:cs="Times New Roman"/>
          <w:color w:val="auto"/>
          <w:szCs w:val="21"/>
          <w:highlight w:val="none"/>
        </w:rPr>
        <w:t>连接拖拉机传动装置启动机械，当达到正常工作压力（10</w:t>
      </w:r>
      <w:r>
        <w:rPr>
          <w:rFonts w:hint="eastAsia" w:ascii="Times New Roman" w:hAnsi="Times New Roman" w:eastAsia="宋体" w:cs="Times New Roman"/>
          <w:color w:val="auto"/>
          <w:szCs w:val="21"/>
          <w:highlight w:val="none"/>
          <w:lang w:val="en-US" w:eastAsia="zh-CN"/>
        </w:rPr>
        <w:t>~</w:t>
      </w:r>
      <w:r>
        <w:rPr>
          <w:rFonts w:hint="default" w:ascii="Times New Roman" w:hAnsi="Times New Roman" w:eastAsia="宋体" w:cs="Times New Roman"/>
          <w:color w:val="auto"/>
          <w:szCs w:val="21"/>
          <w:highlight w:val="none"/>
        </w:rPr>
        <w:t>12bar）后，清洗枪头在水压作用下向管道上游开始冲洗。</w:t>
      </w:r>
    </w:p>
    <w:p w14:paraId="64FE0ACA">
      <w:pPr>
        <w:keepNext w:val="0"/>
        <w:keepLines w:val="0"/>
        <w:pageBreakBefore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color w:val="auto"/>
          <w:szCs w:val="21"/>
          <w:highlight w:val="none"/>
        </w:rPr>
      </w:pPr>
      <w:r>
        <w:rPr>
          <w:rFonts w:hint="eastAsia" w:ascii="宋体" w:hAnsi="宋体" w:eastAsia="宋体" w:cs="宋体"/>
          <w:b/>
          <w:bCs/>
          <w:color w:val="auto"/>
          <w:szCs w:val="21"/>
          <w:highlight w:val="none"/>
          <w:lang w:val="en-US" w:eastAsia="zh-CN"/>
        </w:rPr>
        <w:t>L</w:t>
      </w:r>
      <w:r>
        <w:rPr>
          <w:rFonts w:hint="eastAsia" w:ascii="宋体" w:hAnsi="宋体" w:eastAsia="宋体" w:cs="宋体"/>
          <w:b/>
          <w:bCs/>
          <w:color w:val="auto"/>
          <w:szCs w:val="21"/>
          <w:highlight w:val="none"/>
        </w:rPr>
        <w:t>.3</w:t>
      </w:r>
      <w:r>
        <w:rPr>
          <w:rFonts w:hint="default" w:ascii="Times New Roman" w:hAnsi="Times New Roman" w:eastAsia="宋体" w:cs="Times New Roman"/>
          <w:color w:val="auto"/>
          <w:szCs w:val="21"/>
          <w:highlight w:val="none"/>
        </w:rPr>
        <w:t>暗管清洗机操作要点</w:t>
      </w:r>
    </w:p>
    <w:p w14:paraId="0CC2ABD8">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left="105" w:leftChars="50" w:firstLine="315" w:firstLineChars="15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1</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冲洗水源要清洁、水量丰富，可就近利用排水沟水或采用水车提供冲洗水；</w:t>
      </w:r>
    </w:p>
    <w:p w14:paraId="57AD88D1">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2</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将清洗机放置于管道口正上方，先将带过滤罩的给水管放入水中，再将回水管也放入排水沟中，最后将HPE管清洗枪头放入暗管出口中50cm；</w:t>
      </w:r>
    </w:p>
    <w:p w14:paraId="5F541537">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3</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连接拖拉机传动装置启动机械，当达到正常工作压力后，清洗枪头在水压作用下向管道上游开始冲洗；</w:t>
      </w:r>
    </w:p>
    <w:p w14:paraId="2467F045">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4</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在清洗过程中要不断抽送清洗管道，防止管道被卡死，最佳的清洗距离为300m；</w:t>
      </w:r>
    </w:p>
    <w:p w14:paraId="283AD180">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5</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在达到清洗长度后且从暗管排水口排出的水由浊变清后，才可完成冲洗工作；</w:t>
      </w:r>
    </w:p>
    <w:p w14:paraId="1E563B38">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6</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管道清洗完后，开始回收HPE管，同时要清理附着在管壁上的淤泥，待管道全部从吸水管中拿出后就可以关闭清洗机；</w:t>
      </w:r>
    </w:p>
    <w:p w14:paraId="17015DE6">
      <w:pPr>
        <w:pStyle w:val="85"/>
        <w:keepNext w:val="0"/>
        <w:keepLines w:val="0"/>
        <w:pageBreakBefore w:val="0"/>
        <w:numPr>
          <w:ilvl w:val="0"/>
          <w:numId w:val="0"/>
        </w:numPr>
        <w:tabs>
          <w:tab w:val="clear" w:pos="845"/>
        </w:tabs>
        <w:kinsoku/>
        <w:wordWrap/>
        <w:overflowPunct/>
        <w:topLinePunct w:val="0"/>
        <w:autoSpaceDE/>
        <w:autoSpaceDN/>
        <w:bidi w:val="0"/>
        <w:adjustRightInd/>
        <w:snapToGrid/>
        <w:spacing w:line="240" w:lineRule="auto"/>
        <w:ind w:firstLine="420" w:firstLineChars="200"/>
        <w:textAlignment w:val="auto"/>
        <w:rPr>
          <w:rFonts w:hint="default" w:ascii="Times New Roman" w:hAnsi="Times New Roman" w:eastAsia="宋体" w:cs="Times New Roman"/>
          <w:color w:val="auto"/>
          <w:highlight w:val="none"/>
        </w:rPr>
      </w:pPr>
      <w:r>
        <w:rPr>
          <w:rFonts w:hint="eastAsia" w:ascii="Times New Roman" w:hAnsi="Times New Roman" w:eastAsia="宋体" w:cs="Times New Roman"/>
          <w:color w:val="auto"/>
          <w:highlight w:val="none"/>
          <w:lang w:eastAsia="zh-CN"/>
        </w:rPr>
        <w:t>（</w:t>
      </w:r>
      <w:r>
        <w:rPr>
          <w:rFonts w:hint="eastAsia" w:ascii="Times New Roman" w:hAnsi="Times New Roman" w:eastAsia="宋体" w:cs="Times New Roman"/>
          <w:color w:val="auto"/>
          <w:highlight w:val="none"/>
          <w:lang w:val="en-US" w:eastAsia="zh-CN"/>
        </w:rPr>
        <w:t>7</w:t>
      </w:r>
      <w:r>
        <w:rPr>
          <w:rFonts w:hint="eastAsia"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rPr>
        <w:t>在使用过程中，清洗机枪头磨损后，会降低清洗效率。因此要密切关注机械运行状态，及时更换被磨损的冲洗枪头。</w:t>
      </w:r>
    </w:p>
    <w:p w14:paraId="0BBCB371">
      <w:pPr>
        <w:pStyle w:val="103"/>
        <w:rPr>
          <w:rFonts w:hint="eastAsia"/>
          <w:color w:val="auto"/>
          <w:highlight w:val="none"/>
        </w:rPr>
      </w:pPr>
    </w:p>
    <w:p w14:paraId="34EBD03D">
      <w:pPr>
        <w:pStyle w:val="137"/>
        <w:rPr>
          <w:rFonts w:hint="eastAsia"/>
          <w:color w:val="auto"/>
          <w:highlight w:val="none"/>
        </w:rPr>
      </w:pPr>
    </w:p>
    <w:p w14:paraId="109ED765">
      <w:pPr>
        <w:pStyle w:val="75"/>
        <w:keepNext/>
        <w:keepLines w:val="0"/>
        <w:pageBreakBefore w:val="0"/>
        <w:widowControl/>
        <w:kinsoku/>
        <w:wordWrap/>
        <w:overflowPunct/>
        <w:topLinePunct w:val="0"/>
        <w:autoSpaceDE/>
        <w:autoSpaceDN/>
        <w:bidi w:val="0"/>
        <w:adjustRightInd w:val="0"/>
        <w:snapToGrid w:val="0"/>
        <w:spacing w:before="157" w:beforeLines="50" w:after="157" w:afterLines="50"/>
        <w:textAlignment w:val="auto"/>
        <w:rPr>
          <w:rFonts w:hint="eastAsia"/>
          <w:color w:val="auto"/>
          <w:highlight w:val="none"/>
        </w:rPr>
      </w:pPr>
      <w:r>
        <w:rPr>
          <w:color w:val="auto"/>
          <w:highlight w:val="none"/>
        </w:rPr>
        <w:br w:type="textWrapping"/>
      </w:r>
      <w:r>
        <w:rPr>
          <w:rFonts w:hint="eastAsia"/>
          <w:color w:val="auto"/>
          <w:highlight w:val="none"/>
        </w:rPr>
        <w:t>（资料性附录）</w:t>
      </w:r>
      <w:r>
        <w:rPr>
          <w:color w:val="auto"/>
          <w:highlight w:val="none"/>
        </w:rPr>
        <w:br w:type="textWrapping"/>
      </w:r>
      <w:r>
        <w:rPr>
          <w:rFonts w:hint="eastAsia"/>
          <w:color w:val="auto"/>
          <w:highlight w:val="none"/>
          <w:shd w:val="clear" w:color="auto" w:fill="auto"/>
        </w:rPr>
        <w:t>暗管排水设计</w:t>
      </w:r>
      <w:r>
        <w:rPr>
          <w:rFonts w:hint="eastAsia"/>
          <w:color w:val="auto"/>
          <w:highlight w:val="none"/>
          <w:shd w:val="clear" w:color="auto" w:fill="auto"/>
          <w:lang w:val="en-US" w:eastAsia="zh-CN"/>
        </w:rPr>
        <w:t>与计算流程</w:t>
      </w:r>
    </w:p>
    <w:p w14:paraId="394F3429">
      <w:pPr>
        <w:pStyle w:val="25"/>
        <w:keepNext w:val="0"/>
        <w:keepLines w:val="0"/>
        <w:pageBreakBefore w:val="0"/>
        <w:widowControl/>
        <w:kinsoku/>
        <w:wordWrap/>
        <w:overflowPunct/>
        <w:topLinePunct w:val="0"/>
        <w:autoSpaceDE w:val="0"/>
        <w:autoSpaceDN w:val="0"/>
        <w:bidi w:val="0"/>
        <w:adjustRightInd/>
        <w:snapToGrid/>
        <w:textAlignment w:val="auto"/>
        <w:rPr>
          <w:rFonts w:hint="eastAsia" w:ascii="宋体" w:hAnsi="宋体" w:eastAsia="宋体" w:cs="宋体"/>
          <w:b/>
          <w:bCs/>
          <w:color w:val="auto"/>
          <w:highlight w:val="none"/>
          <w:lang w:val="en-US" w:eastAsia="zh-CN"/>
        </w:rPr>
      </w:pPr>
      <w:r>
        <w:rPr>
          <w:rFonts w:hint="eastAsia" w:ascii="宋体" w:hAnsi="宋体" w:eastAsia="宋体" w:cs="宋体"/>
          <w:b/>
          <w:bCs/>
          <w:color w:val="auto"/>
          <w:highlight w:val="none"/>
          <w:lang w:val="en-US" w:eastAsia="zh-CN"/>
        </w:rPr>
        <w:t xml:space="preserve">M.1 </w:t>
      </w:r>
      <w:r>
        <w:rPr>
          <w:rFonts w:hint="eastAsia" w:ascii="宋体" w:hAnsi="宋体" w:eastAsia="宋体" w:cs="宋体"/>
          <w:b w:val="0"/>
          <w:bCs w:val="0"/>
          <w:color w:val="auto"/>
          <w:highlight w:val="none"/>
          <w:lang w:val="en-US" w:eastAsia="zh-CN"/>
        </w:rPr>
        <w:t>暗管排水设计与计算流程、暗管间距参数与暗管流量、流速及管径参数分别按照图M.1-1、M.1-2和M.1-3所示流程计算。</w:t>
      </w:r>
    </w:p>
    <w:p w14:paraId="53462246">
      <w:pPr>
        <w:pStyle w:val="25"/>
        <w:jc w:val="center"/>
        <w:rPr>
          <w:rFonts w:hint="eastAsia"/>
          <w:color w:val="auto"/>
          <w:highlight w:val="none"/>
        </w:rPr>
      </w:pPr>
      <w:r>
        <w:rPr>
          <w:rFonts w:hint="eastAsia"/>
          <w:color w:val="auto"/>
          <w:highlight w:val="none"/>
        </w:rPr>
        <w:drawing>
          <wp:inline distT="0" distB="0" distL="114300" distR="114300">
            <wp:extent cx="4804410" cy="7127875"/>
            <wp:effectExtent l="0" t="0" r="11430" b="4445"/>
            <wp:docPr id="14" name="图片 14" descr="2bfc7858112705e35ef1805996fe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bfc7858112705e35ef1805996fe1877"/>
                    <pic:cNvPicPr>
                      <a:picLocks noChangeAspect="1"/>
                    </pic:cNvPicPr>
                  </pic:nvPicPr>
                  <pic:blipFill>
                    <a:blip r:embed="rId93"/>
                    <a:srcRect t="1764" b="1570"/>
                    <a:stretch>
                      <a:fillRect/>
                    </a:stretch>
                  </pic:blipFill>
                  <pic:spPr>
                    <a:xfrm>
                      <a:off x="0" y="0"/>
                      <a:ext cx="4804410" cy="7127875"/>
                    </a:xfrm>
                    <a:prstGeom prst="rect">
                      <a:avLst/>
                    </a:prstGeom>
                  </pic:spPr>
                </pic:pic>
              </a:graphicData>
            </a:graphic>
          </wp:inline>
        </w:drawing>
      </w:r>
    </w:p>
    <w:p w14:paraId="04E72943">
      <w:pPr>
        <w:pStyle w:val="25"/>
        <w:jc w:val="center"/>
        <w:rPr>
          <w:rFonts w:hint="default" w:ascii="黑体" w:hAnsi="黑体" w:eastAsia="黑体" w:cs="黑体"/>
          <w:b w:val="0"/>
          <w:bCs w:val="0"/>
          <w:color w:val="auto"/>
          <w:kern w:val="2"/>
          <w:sz w:val="18"/>
          <w:szCs w:val="18"/>
          <w:highlight w:val="none"/>
          <w:lang w:val="en-US" w:eastAsia="zh-CN" w:bidi="ar-SA"/>
        </w:rPr>
      </w:pPr>
      <w:r>
        <w:rPr>
          <w:rFonts w:hint="eastAsia" w:ascii="黑体" w:hAnsi="黑体" w:eastAsia="黑体" w:cs="黑体"/>
          <w:b w:val="0"/>
          <w:bCs w:val="0"/>
          <w:color w:val="auto"/>
          <w:kern w:val="2"/>
          <w:sz w:val="18"/>
          <w:szCs w:val="18"/>
          <w:highlight w:val="none"/>
          <w:lang w:val="en-US" w:eastAsia="zh-CN" w:bidi="ar-SA"/>
        </w:rPr>
        <w:t>图M.1-1 暗管排水设计与计算流程</w:t>
      </w:r>
    </w:p>
    <w:p w14:paraId="7DE31CE2">
      <w:pPr>
        <w:pStyle w:val="25"/>
        <w:jc w:val="center"/>
        <w:rPr>
          <w:rFonts w:hint="eastAsia"/>
          <w:color w:val="auto"/>
          <w:highlight w:val="none"/>
        </w:rPr>
      </w:pPr>
    </w:p>
    <w:p w14:paraId="297AAB52">
      <w:pPr>
        <w:pStyle w:val="25"/>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5321300" cy="6894830"/>
            <wp:effectExtent l="0" t="0" r="0" b="1270"/>
            <wp:docPr id="15" name="图片 15" descr="f9479bf5d1934dfd0e30f070b8ca69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f9479bf5d1934dfd0e30f070b8ca69e8"/>
                    <pic:cNvPicPr>
                      <a:picLocks noChangeAspect="1"/>
                    </pic:cNvPicPr>
                  </pic:nvPicPr>
                  <pic:blipFill>
                    <a:blip r:embed="rId94"/>
                    <a:stretch>
                      <a:fillRect/>
                    </a:stretch>
                  </pic:blipFill>
                  <pic:spPr>
                    <a:xfrm>
                      <a:off x="0" y="0"/>
                      <a:ext cx="5321300" cy="6894830"/>
                    </a:xfrm>
                    <a:prstGeom prst="rect">
                      <a:avLst/>
                    </a:prstGeom>
                  </pic:spPr>
                </pic:pic>
              </a:graphicData>
            </a:graphic>
          </wp:inline>
        </w:drawing>
      </w:r>
    </w:p>
    <w:p w14:paraId="12CFF704">
      <w:pPr>
        <w:pStyle w:val="25"/>
        <w:ind w:left="0" w:leftChars="0" w:firstLine="0" w:firstLineChars="0"/>
        <w:jc w:val="center"/>
        <w:rPr>
          <w:rFonts w:hint="default" w:ascii="黑体" w:hAnsi="黑体" w:eastAsia="黑体" w:cs="黑体"/>
          <w:b w:val="0"/>
          <w:bCs w:val="0"/>
          <w:color w:val="auto"/>
          <w:kern w:val="2"/>
          <w:sz w:val="18"/>
          <w:szCs w:val="18"/>
          <w:highlight w:val="none"/>
          <w:lang w:val="en-US" w:eastAsia="zh-CN" w:bidi="ar-SA"/>
        </w:rPr>
      </w:pPr>
      <w:r>
        <w:rPr>
          <w:rFonts w:hint="eastAsia" w:ascii="黑体" w:hAnsi="黑体" w:eastAsia="黑体" w:cs="黑体"/>
          <w:b w:val="0"/>
          <w:bCs w:val="0"/>
          <w:color w:val="auto"/>
          <w:kern w:val="2"/>
          <w:sz w:val="18"/>
          <w:szCs w:val="18"/>
          <w:highlight w:val="none"/>
          <w:lang w:val="en-US" w:eastAsia="zh-CN" w:bidi="ar-SA"/>
        </w:rPr>
        <w:t>图M.1-2 暗管间距计算流程</w:t>
      </w:r>
    </w:p>
    <w:p w14:paraId="21DD0EC9">
      <w:pPr>
        <w:pStyle w:val="25"/>
        <w:rPr>
          <w:rFonts w:hint="eastAsia" w:eastAsia="宋体"/>
          <w:color w:val="auto"/>
          <w:highlight w:val="none"/>
          <w:lang w:eastAsia="zh-CN"/>
        </w:rPr>
      </w:pPr>
    </w:p>
    <w:p w14:paraId="0B77FF1B">
      <w:pPr>
        <w:pStyle w:val="25"/>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3584575" cy="5983605"/>
            <wp:effectExtent l="0" t="0" r="9525" b="10795"/>
            <wp:docPr id="16" name="图片 16" descr="f7be0866afad0eddaad4880cd596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7be0866afad0eddaad4880cd5964703"/>
                    <pic:cNvPicPr>
                      <a:picLocks noChangeAspect="1"/>
                    </pic:cNvPicPr>
                  </pic:nvPicPr>
                  <pic:blipFill>
                    <a:blip r:embed="rId95"/>
                    <a:stretch>
                      <a:fillRect/>
                    </a:stretch>
                  </pic:blipFill>
                  <pic:spPr>
                    <a:xfrm>
                      <a:off x="0" y="0"/>
                      <a:ext cx="3584575" cy="5983605"/>
                    </a:xfrm>
                    <a:prstGeom prst="rect">
                      <a:avLst/>
                    </a:prstGeom>
                  </pic:spPr>
                </pic:pic>
              </a:graphicData>
            </a:graphic>
          </wp:inline>
        </w:drawing>
      </w:r>
    </w:p>
    <w:p w14:paraId="12C88E33">
      <w:pPr>
        <w:pStyle w:val="25"/>
        <w:ind w:left="0" w:leftChars="0" w:firstLine="0" w:firstLineChars="0"/>
        <w:jc w:val="center"/>
        <w:rPr>
          <w:rFonts w:hint="default" w:ascii="黑体" w:hAnsi="黑体" w:eastAsia="黑体" w:cs="黑体"/>
          <w:b w:val="0"/>
          <w:bCs w:val="0"/>
          <w:color w:val="auto"/>
          <w:kern w:val="2"/>
          <w:sz w:val="18"/>
          <w:szCs w:val="18"/>
          <w:highlight w:val="none"/>
          <w:lang w:val="en-US" w:eastAsia="zh-CN" w:bidi="ar-SA"/>
        </w:rPr>
      </w:pPr>
      <w:r>
        <w:rPr>
          <w:rFonts w:hint="eastAsia" w:ascii="黑体" w:hAnsi="黑体" w:eastAsia="黑体" w:cs="黑体"/>
          <w:b w:val="0"/>
          <w:bCs w:val="0"/>
          <w:color w:val="auto"/>
          <w:kern w:val="2"/>
          <w:sz w:val="18"/>
          <w:szCs w:val="18"/>
          <w:highlight w:val="none"/>
          <w:lang w:val="en-US" w:eastAsia="zh-CN" w:bidi="ar-SA"/>
        </w:rPr>
        <w:t>图M.1-3 暗管流量、流速及管径计算流程</w:t>
      </w:r>
    </w:p>
    <w:p w14:paraId="359427CF">
      <w:pPr>
        <w:jc w:val="center"/>
        <w:outlineLvl w:val="0"/>
        <w:rPr>
          <w:rFonts w:hint="eastAsia" w:eastAsia="宋体"/>
          <w:b/>
          <w:bCs/>
          <w:color w:val="auto"/>
          <w:kern w:val="44"/>
          <w:sz w:val="32"/>
          <w:highlight w:val="none"/>
          <w:lang w:eastAsia="zh-CN"/>
        </w:rPr>
      </w:pPr>
    </w:p>
    <w:p w14:paraId="5AFAA774">
      <w:pPr>
        <w:jc w:val="center"/>
        <w:outlineLvl w:val="0"/>
        <w:rPr>
          <w:rFonts w:hint="eastAsia"/>
          <w:b/>
          <w:bCs/>
          <w:color w:val="auto"/>
          <w:kern w:val="44"/>
          <w:sz w:val="32"/>
          <w:highlight w:val="none"/>
        </w:rPr>
      </w:pPr>
    </w:p>
    <w:p w14:paraId="78E6063C">
      <w:pPr>
        <w:jc w:val="center"/>
        <w:outlineLvl w:val="0"/>
        <w:rPr>
          <w:rFonts w:hint="eastAsia"/>
          <w:b/>
          <w:bCs/>
          <w:color w:val="auto"/>
          <w:kern w:val="44"/>
          <w:sz w:val="32"/>
          <w:highlight w:val="none"/>
        </w:rPr>
      </w:pPr>
    </w:p>
    <w:p w14:paraId="2D74B77C">
      <w:pPr>
        <w:jc w:val="center"/>
        <w:outlineLvl w:val="0"/>
        <w:rPr>
          <w:rFonts w:hint="eastAsia"/>
          <w:b/>
          <w:bCs/>
          <w:color w:val="auto"/>
          <w:kern w:val="44"/>
          <w:sz w:val="32"/>
          <w:highlight w:val="none"/>
        </w:rPr>
      </w:pPr>
    </w:p>
    <w:p w14:paraId="3F6B8CE4">
      <w:pPr>
        <w:pStyle w:val="127"/>
        <w:rPr>
          <w:rFonts w:hint="eastAsia"/>
          <w:color w:val="auto"/>
          <w:sz w:val="30"/>
          <w:szCs w:val="30"/>
          <w:highlight w:val="none"/>
          <w:lang w:val="en-US" w:eastAsia="zh-CN"/>
        </w:rPr>
      </w:pPr>
      <w:bookmarkStart w:id="433" w:name="_Toc522140538"/>
      <w:bookmarkStart w:id="434" w:name="_Toc520823510"/>
      <w:bookmarkStart w:id="435" w:name="_Toc299889808"/>
      <w:r>
        <w:rPr>
          <w:rFonts w:hint="eastAsia"/>
          <w:color w:val="auto"/>
          <w:sz w:val="30"/>
          <w:szCs w:val="30"/>
          <w:highlight w:val="none"/>
          <w:lang w:val="en-US" w:eastAsia="zh-CN"/>
        </w:rPr>
        <w:t>用词说明</w:t>
      </w:r>
    </w:p>
    <w:p w14:paraId="645B9DE2">
      <w:pPr>
        <w:pStyle w:val="25"/>
        <w:ind w:left="0" w:leftChars="0" w:firstLine="420" w:firstLineChars="200"/>
        <w:rPr>
          <w:rFonts w:hint="eastAsia" w:hAnsi="宋体" w:cs="Times New Roman"/>
          <w:color w:val="auto"/>
          <w:sz w:val="21"/>
          <w:szCs w:val="21"/>
          <w:highlight w:val="none"/>
          <w:lang w:val="en-US" w:eastAsia="zh-CN" w:bidi="ar-SA"/>
        </w:rPr>
      </w:pPr>
      <w:r>
        <w:rPr>
          <w:rFonts w:hint="eastAsia" w:ascii="宋体" w:hAnsi="宋体" w:eastAsia="宋体" w:cs="Times New Roman"/>
          <w:color w:val="auto"/>
          <w:sz w:val="21"/>
          <w:szCs w:val="21"/>
          <w:highlight w:val="none"/>
          <w:lang w:val="en-US" w:eastAsia="zh-CN" w:bidi="ar-SA"/>
        </w:rPr>
        <w:t>为便于</w:t>
      </w:r>
      <w:r>
        <w:rPr>
          <w:rFonts w:hint="eastAsia" w:hAnsi="宋体" w:cs="Times New Roman"/>
          <w:color w:val="auto"/>
          <w:sz w:val="21"/>
          <w:szCs w:val="21"/>
          <w:highlight w:val="none"/>
          <w:lang w:val="en-US" w:eastAsia="zh-CN" w:bidi="ar-SA"/>
        </w:rPr>
        <w:t>在执行本规程条款时区别对待，对要求程度不同的用词说明如下：</w:t>
      </w:r>
    </w:p>
    <w:p w14:paraId="467109D6">
      <w:pPr>
        <w:pStyle w:val="25"/>
        <w:ind w:left="0" w:leftChars="0" w:firstLine="420" w:firstLineChars="200"/>
        <w:rPr>
          <w:rFonts w:hint="eastAsia" w:hAnsi="宋体" w:cs="Times New Roman"/>
          <w:color w:val="auto"/>
          <w:sz w:val="21"/>
          <w:szCs w:val="21"/>
          <w:highlight w:val="none"/>
          <w:lang w:val="en-US" w:eastAsia="zh-CN" w:bidi="ar-SA"/>
        </w:rPr>
      </w:pPr>
      <w:r>
        <w:rPr>
          <w:rFonts w:hint="eastAsia" w:hAnsi="宋体" w:cs="Times New Roman"/>
          <w:color w:val="auto"/>
          <w:sz w:val="21"/>
          <w:szCs w:val="21"/>
          <w:highlight w:val="none"/>
          <w:lang w:val="en-US" w:eastAsia="zh-CN" w:bidi="ar-SA"/>
        </w:rPr>
        <w:t>1 表示很严格，非这样做不可的：</w:t>
      </w:r>
    </w:p>
    <w:p w14:paraId="369BC4AD">
      <w:pPr>
        <w:pStyle w:val="25"/>
        <w:ind w:firstLine="630" w:firstLineChars="300"/>
        <w:rPr>
          <w:rFonts w:hint="eastAsia" w:hAnsi="宋体" w:cs="Times New Roman"/>
          <w:color w:val="auto"/>
          <w:sz w:val="21"/>
          <w:szCs w:val="21"/>
          <w:highlight w:val="none"/>
          <w:lang w:val="en-US" w:eastAsia="zh-CN" w:bidi="ar-SA"/>
        </w:rPr>
      </w:pPr>
      <w:r>
        <w:rPr>
          <w:rFonts w:hint="eastAsia" w:hAnsi="宋体" w:cs="Times New Roman"/>
          <w:color w:val="auto"/>
          <w:sz w:val="21"/>
          <w:szCs w:val="21"/>
          <w:highlight w:val="none"/>
          <w:lang w:val="en-US" w:eastAsia="zh-CN" w:bidi="ar-SA"/>
        </w:rPr>
        <w:t>正面词采用“必须”，反面词采用“严禁”；</w:t>
      </w:r>
    </w:p>
    <w:p w14:paraId="0185708C">
      <w:pPr>
        <w:pStyle w:val="25"/>
        <w:rPr>
          <w:rFonts w:hint="eastAsia" w:hAnsi="宋体" w:cs="Times New Roman"/>
          <w:color w:val="auto"/>
          <w:sz w:val="21"/>
          <w:szCs w:val="21"/>
          <w:highlight w:val="none"/>
          <w:lang w:val="en-US" w:eastAsia="zh-CN" w:bidi="ar-SA"/>
        </w:rPr>
      </w:pPr>
      <w:r>
        <w:rPr>
          <w:rFonts w:hint="eastAsia" w:hAnsi="宋体" w:cs="Times New Roman"/>
          <w:color w:val="auto"/>
          <w:sz w:val="21"/>
          <w:szCs w:val="21"/>
          <w:highlight w:val="none"/>
          <w:lang w:val="en-US" w:eastAsia="zh-CN" w:bidi="ar-SA"/>
        </w:rPr>
        <w:t>2 表示严格，正常情况下均应这样做的：</w:t>
      </w:r>
    </w:p>
    <w:p w14:paraId="2635CE8F">
      <w:pPr>
        <w:pStyle w:val="25"/>
        <w:ind w:firstLine="630" w:firstLineChars="300"/>
        <w:rPr>
          <w:rFonts w:hint="eastAsia" w:hAnsi="宋体" w:cs="Times New Roman"/>
          <w:color w:val="auto"/>
          <w:sz w:val="21"/>
          <w:szCs w:val="21"/>
          <w:highlight w:val="none"/>
          <w:lang w:val="en-US" w:eastAsia="zh-CN" w:bidi="ar-SA"/>
        </w:rPr>
      </w:pPr>
      <w:r>
        <w:rPr>
          <w:rFonts w:hint="eastAsia" w:hAnsi="宋体" w:cs="Times New Roman"/>
          <w:color w:val="auto"/>
          <w:sz w:val="21"/>
          <w:szCs w:val="21"/>
          <w:highlight w:val="none"/>
          <w:lang w:val="en-US" w:eastAsia="zh-CN" w:bidi="ar-SA"/>
        </w:rPr>
        <w:t xml:space="preserve">  正面词采用“应该”，反面词采用“不应”、“不得”；</w:t>
      </w:r>
    </w:p>
    <w:p w14:paraId="664CB8AE">
      <w:pPr>
        <w:pStyle w:val="25"/>
        <w:rPr>
          <w:rFonts w:hint="eastAsia" w:hAnsi="宋体" w:cs="Times New Roman"/>
          <w:color w:val="auto"/>
          <w:sz w:val="21"/>
          <w:szCs w:val="21"/>
          <w:highlight w:val="none"/>
          <w:lang w:val="en-US" w:eastAsia="zh-CN" w:bidi="ar-SA"/>
        </w:rPr>
      </w:pPr>
      <w:r>
        <w:rPr>
          <w:rFonts w:hint="eastAsia" w:hAnsi="宋体" w:cs="Times New Roman"/>
          <w:color w:val="auto"/>
          <w:sz w:val="21"/>
          <w:szCs w:val="21"/>
          <w:highlight w:val="none"/>
          <w:lang w:val="en-US" w:eastAsia="zh-CN" w:bidi="ar-SA"/>
        </w:rPr>
        <w:t>3 表示允许稍有选择，在条件许可时首选这样做的：</w:t>
      </w:r>
    </w:p>
    <w:p w14:paraId="6DCB3B01">
      <w:pPr>
        <w:pStyle w:val="25"/>
        <w:rPr>
          <w:rFonts w:hint="eastAsia" w:hAnsi="宋体" w:cs="Times New Roman"/>
          <w:color w:val="auto"/>
          <w:sz w:val="21"/>
          <w:szCs w:val="21"/>
          <w:highlight w:val="none"/>
          <w:lang w:val="en-US" w:eastAsia="zh-CN" w:bidi="ar-SA"/>
        </w:rPr>
      </w:pPr>
      <w:r>
        <w:rPr>
          <w:rFonts w:hint="eastAsia" w:hAnsi="宋体" w:cs="Times New Roman"/>
          <w:color w:val="auto"/>
          <w:sz w:val="21"/>
          <w:szCs w:val="21"/>
          <w:highlight w:val="none"/>
          <w:lang w:val="en-US" w:eastAsia="zh-CN" w:bidi="ar-SA"/>
        </w:rPr>
        <w:t xml:space="preserve">  正面词采用“宜”，反面词采用“不宜”；  </w:t>
      </w:r>
    </w:p>
    <w:p w14:paraId="56AE5CD7">
      <w:pPr>
        <w:pStyle w:val="25"/>
        <w:rPr>
          <w:rFonts w:hint="eastAsia" w:hAnsi="宋体" w:cs="Times New Roman"/>
          <w:color w:val="auto"/>
          <w:sz w:val="21"/>
          <w:szCs w:val="21"/>
          <w:highlight w:val="none"/>
          <w:lang w:val="en-US" w:eastAsia="zh-CN" w:bidi="ar-SA"/>
        </w:rPr>
      </w:pPr>
      <w:r>
        <w:rPr>
          <w:rFonts w:hint="eastAsia" w:hAnsi="宋体" w:cs="Times New Roman"/>
          <w:color w:val="auto"/>
          <w:sz w:val="21"/>
          <w:szCs w:val="21"/>
          <w:highlight w:val="none"/>
          <w:lang w:val="en-US" w:eastAsia="zh-CN" w:bidi="ar-SA"/>
        </w:rPr>
        <w:t>4 表示有选择，在一定条件下可以这样做的：</w:t>
      </w:r>
    </w:p>
    <w:p w14:paraId="797C0F34">
      <w:pPr>
        <w:pStyle w:val="25"/>
        <w:rPr>
          <w:rFonts w:hint="default" w:hAnsi="宋体" w:cs="Times New Roman"/>
          <w:color w:val="auto"/>
          <w:sz w:val="21"/>
          <w:szCs w:val="21"/>
          <w:highlight w:val="none"/>
          <w:lang w:val="en-US" w:eastAsia="zh-CN" w:bidi="ar-SA"/>
        </w:rPr>
      </w:pPr>
      <w:r>
        <w:rPr>
          <w:rFonts w:hint="eastAsia" w:hAnsi="宋体" w:cs="Times New Roman"/>
          <w:color w:val="auto"/>
          <w:sz w:val="21"/>
          <w:szCs w:val="21"/>
          <w:highlight w:val="none"/>
          <w:lang w:val="en-US" w:eastAsia="zh-CN" w:bidi="ar-SA"/>
        </w:rPr>
        <w:t xml:space="preserve">  正面词采用“可”、“可以”。</w:t>
      </w:r>
    </w:p>
    <w:p w14:paraId="19AD2E51">
      <w:pPr>
        <w:pStyle w:val="127"/>
        <w:rPr>
          <w:rFonts w:hint="eastAsia"/>
          <w:color w:val="auto"/>
          <w:szCs w:val="22"/>
          <w:highlight w:val="none"/>
        </w:rPr>
      </w:pPr>
      <w:r>
        <w:rPr>
          <w:rFonts w:hint="eastAsia"/>
          <w:color w:val="auto"/>
          <w:szCs w:val="22"/>
          <w:highlight w:val="none"/>
        </w:rPr>
        <w:t>条文说明</w:t>
      </w:r>
      <w:bookmarkEnd w:id="414"/>
      <w:bookmarkEnd w:id="433"/>
      <w:bookmarkEnd w:id="434"/>
      <w:bookmarkEnd w:id="435"/>
    </w:p>
    <w:p w14:paraId="0C28482F">
      <w:pPr>
        <w:pStyle w:val="71"/>
        <w:keepNext w:val="0"/>
        <w:keepLines w:val="0"/>
        <w:pageBreakBefore w:val="0"/>
        <w:widowControl/>
        <w:numPr>
          <w:ilvl w:val="1"/>
          <w:numId w:val="0"/>
        </w:numPr>
        <w:kinsoku/>
        <w:wordWrap/>
        <w:overflowPunct/>
        <w:topLinePunct w:val="0"/>
        <w:autoSpaceDE/>
        <w:autoSpaceDN/>
        <w:bidi w:val="0"/>
        <w:adjustRightInd/>
        <w:snapToGrid/>
        <w:ind w:leftChars="0"/>
        <w:textAlignment w:val="auto"/>
        <w:rPr>
          <w:rFonts w:hint="eastAsia"/>
          <w:color w:val="auto"/>
          <w:highlight w:val="none"/>
        </w:rPr>
      </w:pPr>
      <w:bookmarkStart w:id="436" w:name="_Toc10552_WPSOffice_Level1"/>
      <w:bookmarkStart w:id="437" w:name="_Toc522140539"/>
      <w:bookmarkStart w:id="438" w:name="_Toc27265"/>
      <w:bookmarkStart w:id="439" w:name="_Toc12974"/>
      <w:bookmarkStart w:id="440" w:name="_Toc26994"/>
      <w:bookmarkStart w:id="441" w:name="_Toc24616"/>
      <w:bookmarkStart w:id="442" w:name="_Toc299889809"/>
      <w:bookmarkStart w:id="443" w:name="_Toc12748"/>
      <w:bookmarkStart w:id="444" w:name="_Toc14194"/>
      <w:bookmarkStart w:id="445" w:name="_Toc23155_WPSOffice_Level1"/>
      <w:bookmarkStart w:id="446" w:name="_Toc520823511"/>
      <w:r>
        <w:rPr>
          <w:rFonts w:hint="eastAsia"/>
          <w:color w:val="auto"/>
          <w:highlight w:val="none"/>
        </w:rPr>
        <w:t xml:space="preserve">1 </w:t>
      </w:r>
      <w:r>
        <w:rPr>
          <w:rFonts w:hint="eastAsia"/>
          <w:color w:val="auto"/>
          <w:highlight w:val="none"/>
          <w:lang w:val="en-US" w:eastAsia="zh-CN"/>
        </w:rPr>
        <w:t>范围</w:t>
      </w:r>
      <w:bookmarkEnd w:id="436"/>
      <w:bookmarkEnd w:id="437"/>
      <w:bookmarkEnd w:id="438"/>
      <w:bookmarkEnd w:id="439"/>
      <w:bookmarkEnd w:id="440"/>
      <w:bookmarkEnd w:id="441"/>
      <w:bookmarkEnd w:id="442"/>
      <w:bookmarkEnd w:id="443"/>
      <w:bookmarkEnd w:id="444"/>
      <w:bookmarkEnd w:id="445"/>
      <w:bookmarkEnd w:id="446"/>
    </w:p>
    <w:p w14:paraId="24C2DF35">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cs="宋体"/>
          <w:color w:val="auto"/>
          <w:highlight w:val="none"/>
        </w:rPr>
      </w:pPr>
      <w:r>
        <w:rPr>
          <w:rFonts w:hint="eastAsia" w:ascii="宋体" w:hAnsi="宋体" w:cs="宋体"/>
          <w:color w:val="auto"/>
          <w:highlight w:val="none"/>
        </w:rPr>
        <w:t>1.</w:t>
      </w:r>
      <w:r>
        <w:rPr>
          <w:rFonts w:hint="eastAsia" w:ascii="宋体" w:hAnsi="宋体" w:cs="宋体"/>
          <w:color w:val="auto"/>
          <w:highlight w:val="none"/>
          <w:lang w:val="en-US" w:eastAsia="zh-CN"/>
        </w:rPr>
        <w:t>0.</w:t>
      </w:r>
      <w:r>
        <w:rPr>
          <w:rFonts w:hint="eastAsia" w:ascii="宋体" w:hAnsi="宋体" w:cs="宋体"/>
          <w:color w:val="auto"/>
          <w:highlight w:val="none"/>
        </w:rPr>
        <w:t>1 本</w:t>
      </w:r>
      <w:r>
        <w:rPr>
          <w:rFonts w:hint="eastAsia" w:ascii="宋体" w:hAnsi="宋体" w:cs="宋体"/>
          <w:color w:val="auto"/>
          <w:highlight w:val="none"/>
          <w:lang w:val="en-US" w:eastAsia="zh-CN"/>
        </w:rPr>
        <w:t>规程</w:t>
      </w:r>
      <w:r>
        <w:rPr>
          <w:rFonts w:hint="eastAsia" w:ascii="宋体" w:hAnsi="宋体" w:cs="宋体"/>
          <w:color w:val="auto"/>
          <w:highlight w:val="none"/>
        </w:rPr>
        <w:t>是在参考现行的国家、行业农田灌溉与排水相关规范，总结30多年来宁夏引黄灌区农业综合开发暗管排水工程实践的基础上，考虑近年来农田排水理念的变化、农田排水技术进步以及新材料、新技术和新能源在农田暗管排水工程中的应用，编制而成。</w:t>
      </w:r>
    </w:p>
    <w:p w14:paraId="28ADC785">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cs="宋体"/>
          <w:color w:val="auto"/>
          <w:highlight w:val="none"/>
        </w:rPr>
      </w:pPr>
      <w:r>
        <w:rPr>
          <w:rFonts w:hint="eastAsia" w:ascii="宋体" w:hAnsi="宋体" w:cs="宋体"/>
          <w:color w:val="auto"/>
          <w:highlight w:val="none"/>
        </w:rPr>
        <w:t>1.</w:t>
      </w:r>
      <w:r>
        <w:rPr>
          <w:rFonts w:hint="eastAsia" w:ascii="宋体" w:hAnsi="宋体" w:cs="宋体"/>
          <w:color w:val="auto"/>
          <w:highlight w:val="none"/>
          <w:lang w:val="en-US" w:eastAsia="zh-CN"/>
        </w:rPr>
        <w:t>0.2</w:t>
      </w:r>
      <w:r>
        <w:rPr>
          <w:rFonts w:hint="eastAsia" w:ascii="宋体" w:hAnsi="宋体" w:cs="宋体"/>
          <w:color w:val="auto"/>
          <w:highlight w:val="none"/>
        </w:rPr>
        <w:t xml:space="preserve"> 宁夏地处干旱、半干旱内陆地区，长期实践表明，保持宁夏引黄灌区灌排平衡至关重要。尤其是银北灌区特殊的地理位置和地质条件，探索出了竖井、明沟和暗管排水的综合排水模式，暗管排水成为农田排水的有效途径之一。因此，有必要针对宁夏引（扬）黄灌区实际，出台相应的暗管排水工程技术规范，用于指导农田暗管排水工程新建、扩建、改建及配套工程的规划、设计、施工、验收以及工程建成后的管护工作。</w:t>
      </w:r>
    </w:p>
    <w:p w14:paraId="198CE0FC">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cs="宋体"/>
          <w:color w:val="auto"/>
          <w:highlight w:val="none"/>
        </w:rPr>
      </w:pPr>
      <w:r>
        <w:rPr>
          <w:rFonts w:hint="eastAsia" w:ascii="宋体" w:hAnsi="宋体" w:cs="宋体"/>
          <w:color w:val="auto"/>
          <w:highlight w:val="none"/>
        </w:rPr>
        <w:t>1.0.3 暗管排水工程是治理涝渍、盐碱的有效措施，是直接为发展现代农业、增产增效服务的。因此，农田暗管排水工程的建设应与治理区农田排水系统相协调，与当地农业、水利区划相适应，统筹兼顾，综合治理。应做到建管并重、排灌兼施，才能取得减灾增产的持久效果，这与现代农业的可持续发展理念是一致的。</w:t>
      </w:r>
    </w:p>
    <w:p w14:paraId="444DCAB9">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cs="宋体"/>
          <w:color w:val="auto"/>
          <w:highlight w:val="none"/>
        </w:rPr>
      </w:pPr>
      <w:r>
        <w:rPr>
          <w:rFonts w:hint="eastAsia" w:ascii="宋体" w:hAnsi="宋体" w:cs="宋体"/>
          <w:color w:val="auto"/>
          <w:highlight w:val="none"/>
        </w:rPr>
        <w:t>1.0.4 暗管排水工程属于隐蔽工程，应重视规划设计的合理性、参数与指标的选择，以及施工质量控制和运行管理中的效果监测与设施维修管护工作。</w:t>
      </w:r>
      <w:r>
        <w:rPr>
          <w:rFonts w:hint="eastAsia" w:ascii="宋体" w:hAnsi="宋体" w:cs="宋体"/>
          <w:color w:val="auto"/>
          <w:highlight w:val="none"/>
          <w:lang w:val="en-US" w:eastAsia="zh-CN"/>
        </w:rPr>
        <w:t>虽然</w:t>
      </w:r>
      <w:r>
        <w:rPr>
          <w:rFonts w:hint="eastAsia" w:ascii="宋体" w:hAnsi="宋体" w:cs="宋体"/>
          <w:color w:val="auto"/>
          <w:highlight w:val="none"/>
        </w:rPr>
        <w:t>针对</w:t>
      </w:r>
      <w:r>
        <w:rPr>
          <w:rFonts w:hint="eastAsia" w:ascii="宋体" w:hAnsi="宋体" w:cs="宋体"/>
          <w:color w:val="auto"/>
          <w:highlight w:val="none"/>
          <w:lang w:val="en-US" w:eastAsia="zh-CN"/>
        </w:rPr>
        <w:t>宁夏引黄灌区暗管排水技术的试验、研究和推广应用开展早、较普遍，也积累了部分</w:t>
      </w:r>
      <w:r>
        <w:rPr>
          <w:rFonts w:hint="eastAsia" w:ascii="宋体" w:hAnsi="宋体" w:cs="宋体"/>
          <w:color w:val="auto"/>
          <w:highlight w:val="none"/>
        </w:rPr>
        <w:t>科学研究</w:t>
      </w:r>
      <w:r>
        <w:rPr>
          <w:rFonts w:hint="eastAsia" w:ascii="宋体" w:hAnsi="宋体" w:cs="宋体"/>
          <w:color w:val="auto"/>
          <w:highlight w:val="none"/>
          <w:lang w:val="en-US" w:eastAsia="zh-CN"/>
        </w:rPr>
        <w:t>与</w:t>
      </w:r>
      <w:r>
        <w:rPr>
          <w:rFonts w:hint="eastAsia" w:ascii="宋体" w:hAnsi="宋体" w:cs="宋体"/>
          <w:color w:val="auto"/>
          <w:highlight w:val="none"/>
        </w:rPr>
        <w:t>监测试验</w:t>
      </w:r>
      <w:r>
        <w:rPr>
          <w:rFonts w:hint="eastAsia" w:ascii="宋体" w:hAnsi="宋体" w:cs="宋体"/>
          <w:color w:val="auto"/>
          <w:highlight w:val="none"/>
          <w:lang w:val="en-US" w:eastAsia="zh-CN"/>
        </w:rPr>
        <w:t>成果，但不够</w:t>
      </w:r>
      <w:r>
        <w:rPr>
          <w:rFonts w:hint="eastAsia" w:ascii="宋体" w:hAnsi="宋体" w:cs="宋体"/>
          <w:color w:val="auto"/>
          <w:highlight w:val="none"/>
        </w:rPr>
        <w:t>系统</w:t>
      </w:r>
      <w:r>
        <w:rPr>
          <w:rFonts w:hint="eastAsia" w:ascii="宋体" w:hAnsi="宋体" w:cs="宋体"/>
          <w:color w:val="auto"/>
          <w:highlight w:val="none"/>
          <w:lang w:val="en-US" w:eastAsia="zh-CN"/>
        </w:rPr>
        <w:t>和全面</w:t>
      </w:r>
      <w:r>
        <w:rPr>
          <w:rFonts w:hint="eastAsia" w:ascii="宋体" w:hAnsi="宋体" w:cs="宋体"/>
          <w:color w:val="auto"/>
          <w:highlight w:val="none"/>
        </w:rPr>
        <w:t>，本</w:t>
      </w:r>
      <w:r>
        <w:rPr>
          <w:rFonts w:hint="eastAsia" w:ascii="宋体" w:hAnsi="宋体" w:cs="宋体"/>
          <w:color w:val="auto"/>
          <w:highlight w:val="none"/>
          <w:lang w:val="en-US" w:eastAsia="zh-CN"/>
        </w:rPr>
        <w:t>规程</w:t>
      </w:r>
      <w:r>
        <w:rPr>
          <w:rFonts w:hint="eastAsia" w:ascii="宋体" w:hAnsi="宋体" w:cs="宋体"/>
          <w:color w:val="auto"/>
          <w:highlight w:val="none"/>
        </w:rPr>
        <w:t>规定的勘测方法和指标、设计参数等数据，将会在暗管排水工程建设实践中逐步完善。</w:t>
      </w:r>
    </w:p>
    <w:p w14:paraId="76506ED0">
      <w:pPr>
        <w:pStyle w:val="133"/>
        <w:numPr>
          <w:ilvl w:val="0"/>
          <w:numId w:val="0"/>
        </w:numPr>
        <w:spacing w:before="156" w:after="156"/>
        <w:rPr>
          <w:rFonts w:hint="eastAsia"/>
          <w:color w:val="auto"/>
          <w:highlight w:val="none"/>
        </w:rPr>
      </w:pPr>
      <w:bookmarkStart w:id="447" w:name="_Toc5284"/>
      <w:bookmarkStart w:id="448" w:name="_Toc522140540"/>
      <w:bookmarkStart w:id="449" w:name="_Toc520823512"/>
      <w:bookmarkStart w:id="450" w:name="_Toc7199"/>
      <w:bookmarkStart w:id="451" w:name="_Toc18682"/>
      <w:bookmarkStart w:id="452" w:name="_Toc8776"/>
      <w:bookmarkStart w:id="453" w:name="_Toc14049"/>
      <w:bookmarkStart w:id="454" w:name="_Toc5185"/>
      <w:bookmarkStart w:id="455" w:name="_Toc299889810"/>
      <w:r>
        <w:rPr>
          <w:rFonts w:hint="eastAsia"/>
          <w:color w:val="auto"/>
          <w:highlight w:val="none"/>
        </w:rPr>
        <w:t>2 规范性引用文件</w:t>
      </w:r>
      <w:bookmarkEnd w:id="447"/>
      <w:bookmarkEnd w:id="448"/>
      <w:bookmarkEnd w:id="449"/>
      <w:bookmarkEnd w:id="450"/>
      <w:bookmarkEnd w:id="451"/>
      <w:bookmarkEnd w:id="452"/>
      <w:bookmarkEnd w:id="453"/>
      <w:bookmarkEnd w:id="454"/>
      <w:bookmarkEnd w:id="455"/>
      <w:r>
        <w:rPr>
          <w:rFonts w:hint="eastAsia"/>
          <w:color w:val="auto"/>
          <w:highlight w:val="none"/>
        </w:rPr>
        <w:t xml:space="preserve"> </w:t>
      </w:r>
    </w:p>
    <w:p w14:paraId="1423E7DE">
      <w:pPr>
        <w:keepNext w:val="0"/>
        <w:keepLines w:val="0"/>
        <w:pageBreakBefore w:val="0"/>
        <w:kinsoku/>
        <w:wordWrap/>
        <w:overflowPunct/>
        <w:topLinePunct w:val="0"/>
        <w:bidi w:val="0"/>
        <w:adjustRightInd/>
        <w:snapToGrid/>
        <w:spacing w:line="240" w:lineRule="auto"/>
        <w:textAlignment w:val="auto"/>
        <w:rPr>
          <w:color w:val="auto"/>
          <w:highlight w:val="none"/>
        </w:rPr>
      </w:pPr>
      <w:r>
        <w:rPr>
          <w:rFonts w:hint="eastAsia" w:ascii="宋体" w:hAnsi="宋体" w:eastAsia="宋体" w:cs="宋体"/>
          <w:color w:val="auto"/>
          <w:highlight w:val="none"/>
        </w:rPr>
        <w:t>2.0.1</w:t>
      </w:r>
      <w:r>
        <w:rPr>
          <w:color w:val="auto"/>
          <w:highlight w:val="none"/>
        </w:rPr>
        <w:t xml:space="preserve"> 除</w:t>
      </w:r>
      <w:r>
        <w:rPr>
          <w:rFonts w:hint="eastAsia"/>
          <w:color w:val="auto"/>
          <w:highlight w:val="none"/>
          <w:lang w:val="en-US" w:eastAsia="zh-CN"/>
        </w:rPr>
        <w:t>本规程已</w:t>
      </w:r>
      <w:r>
        <w:rPr>
          <w:color w:val="auto"/>
          <w:highlight w:val="none"/>
        </w:rPr>
        <w:t>列出的有关标准、规范外，在编写过程中还参考了以下文献，可以在暗管</w:t>
      </w:r>
      <w:r>
        <w:rPr>
          <w:rFonts w:hint="eastAsia"/>
          <w:color w:val="auto"/>
          <w:highlight w:val="none"/>
          <w:lang w:val="en-US" w:eastAsia="zh-CN"/>
        </w:rPr>
        <w:t>排水</w:t>
      </w:r>
      <w:r>
        <w:rPr>
          <w:color w:val="auto"/>
          <w:highlight w:val="none"/>
        </w:rPr>
        <w:t>工程设计与施工中作为资料性文件。</w:t>
      </w:r>
    </w:p>
    <w:p w14:paraId="4781C493">
      <w:pPr>
        <w:pStyle w:val="25"/>
        <w:keepNext w:val="0"/>
        <w:keepLines w:val="0"/>
        <w:pageBreakBefore w:val="0"/>
        <w:kinsoku/>
        <w:wordWrap/>
        <w:overflowPunct/>
        <w:topLinePunct w:val="0"/>
        <w:bidi w:val="0"/>
        <w:adjustRightInd/>
        <w:snapToGrid/>
        <w:spacing w:line="240" w:lineRule="auto"/>
        <w:ind w:firstLine="0" w:firstLineChars="0"/>
        <w:textAlignment w:val="auto"/>
        <w:rPr>
          <w:rFonts w:ascii="Times New Roman"/>
          <w:color w:val="auto"/>
          <w:szCs w:val="22"/>
          <w:highlight w:val="none"/>
        </w:rPr>
      </w:pPr>
      <w:r>
        <w:rPr>
          <w:rFonts w:ascii="Times New Roman"/>
          <w:color w:val="auto"/>
          <w:szCs w:val="22"/>
          <w:highlight w:val="none"/>
        </w:rPr>
        <w:t>[1] 宁夏水文水资源水资源勘测局，宁夏回族自治区暴雨洪水图集[R]，1986</w:t>
      </w:r>
    </w:p>
    <w:p w14:paraId="2E1DAA7F">
      <w:pPr>
        <w:pStyle w:val="25"/>
        <w:keepNext w:val="0"/>
        <w:keepLines w:val="0"/>
        <w:pageBreakBefore w:val="0"/>
        <w:kinsoku/>
        <w:wordWrap/>
        <w:overflowPunct/>
        <w:topLinePunct w:val="0"/>
        <w:bidi w:val="0"/>
        <w:adjustRightInd/>
        <w:snapToGrid/>
        <w:spacing w:line="240" w:lineRule="auto"/>
        <w:ind w:firstLine="0" w:firstLineChars="0"/>
        <w:textAlignment w:val="auto"/>
        <w:rPr>
          <w:rFonts w:hint="default" w:ascii="Times New Roman" w:hAnsi="Times New Roman" w:eastAsia="宋体" w:cs="Times New Roman"/>
          <w:color w:val="auto"/>
          <w:szCs w:val="22"/>
          <w:highlight w:val="none"/>
          <w:lang w:val="en-US" w:eastAsia="zh-CN"/>
        </w:rPr>
      </w:pPr>
      <w:r>
        <w:rPr>
          <w:rFonts w:hint="eastAsia" w:ascii="Times New Roman"/>
          <w:color w:val="auto"/>
          <w:szCs w:val="22"/>
          <w:highlight w:val="none"/>
          <w:lang w:val="en-US" w:eastAsia="zh-CN"/>
        </w:rPr>
        <w:t xml:space="preserve">[2] </w:t>
      </w:r>
      <w:r>
        <w:rPr>
          <w:rFonts w:hint="eastAsia" w:ascii="Times New Roman" w:hAnsi="Times New Roman" w:eastAsia="宋体" w:cs="Times New Roman"/>
          <w:color w:val="auto"/>
          <w:szCs w:val="22"/>
          <w:highlight w:val="none"/>
        </w:rPr>
        <w:t>瞿兴业.农田排灌渗流计算及其应用[M]</w:t>
      </w:r>
      <w:r>
        <w:rPr>
          <w:rFonts w:hint="eastAsia" w:ascii="Times New Roman" w:hAnsi="Times New Roman" w:eastAsia="宋体" w:cs="Times New Roman"/>
          <w:color w:val="auto"/>
          <w:szCs w:val="22"/>
          <w:highlight w:val="none"/>
          <w:lang w:eastAsia="zh-CN"/>
        </w:rPr>
        <w:t>，</w:t>
      </w:r>
      <w:r>
        <w:rPr>
          <w:rFonts w:hint="eastAsia" w:ascii="Times New Roman" w:hAnsi="Times New Roman" w:eastAsia="宋体" w:cs="Times New Roman"/>
          <w:color w:val="auto"/>
          <w:szCs w:val="22"/>
          <w:highlight w:val="none"/>
        </w:rPr>
        <w:t>中国水利水电出版社</w:t>
      </w:r>
      <w:r>
        <w:rPr>
          <w:rFonts w:hint="eastAsia" w:ascii="Times New Roman" w:hAnsi="Times New Roman" w:eastAsia="宋体" w:cs="Times New Roman"/>
          <w:color w:val="auto"/>
          <w:szCs w:val="22"/>
          <w:highlight w:val="none"/>
          <w:lang w:eastAsia="zh-CN"/>
        </w:rPr>
        <w:t>，</w:t>
      </w:r>
      <w:r>
        <w:rPr>
          <w:rFonts w:hint="eastAsia" w:ascii="Times New Roman" w:hAnsi="Times New Roman" w:eastAsia="宋体" w:cs="Times New Roman"/>
          <w:color w:val="auto"/>
          <w:szCs w:val="22"/>
          <w:highlight w:val="none"/>
        </w:rPr>
        <w:t>北京.2010</w:t>
      </w:r>
    </w:p>
    <w:p w14:paraId="122E1FCE">
      <w:pPr>
        <w:pStyle w:val="25"/>
        <w:keepNext w:val="0"/>
        <w:keepLines w:val="0"/>
        <w:pageBreakBefore w:val="0"/>
        <w:kinsoku/>
        <w:wordWrap/>
        <w:overflowPunct/>
        <w:topLinePunct w:val="0"/>
        <w:bidi w:val="0"/>
        <w:adjustRightInd/>
        <w:snapToGrid/>
        <w:spacing w:line="240" w:lineRule="auto"/>
        <w:ind w:firstLine="0" w:firstLineChars="0"/>
        <w:textAlignment w:val="auto"/>
        <w:rPr>
          <w:rFonts w:ascii="Times New Roman"/>
          <w:color w:val="auto"/>
          <w:szCs w:val="22"/>
          <w:highlight w:val="none"/>
        </w:rPr>
      </w:pPr>
      <w:r>
        <w:rPr>
          <w:rFonts w:ascii="Times New Roman"/>
          <w:color w:val="auto"/>
          <w:szCs w:val="22"/>
          <w:highlight w:val="none"/>
        </w:rPr>
        <w:t>[</w:t>
      </w:r>
      <w:r>
        <w:rPr>
          <w:rFonts w:hint="eastAsia" w:ascii="Times New Roman"/>
          <w:color w:val="auto"/>
          <w:szCs w:val="22"/>
          <w:highlight w:val="none"/>
          <w:lang w:val="en-US" w:eastAsia="zh-CN"/>
        </w:rPr>
        <w:t>3</w:t>
      </w:r>
      <w:r>
        <w:rPr>
          <w:rFonts w:ascii="Times New Roman"/>
          <w:color w:val="auto"/>
          <w:szCs w:val="22"/>
          <w:highlight w:val="none"/>
        </w:rPr>
        <w:t>] 严思成等，农田地下排灌技术与施工机具[M]，机械工业出版社，1991</w:t>
      </w:r>
    </w:p>
    <w:p w14:paraId="6D5C7F1E">
      <w:pPr>
        <w:pStyle w:val="25"/>
        <w:keepNext w:val="0"/>
        <w:keepLines w:val="0"/>
        <w:pageBreakBefore w:val="0"/>
        <w:kinsoku/>
        <w:wordWrap/>
        <w:overflowPunct/>
        <w:topLinePunct w:val="0"/>
        <w:bidi w:val="0"/>
        <w:adjustRightInd/>
        <w:snapToGrid/>
        <w:spacing w:line="240" w:lineRule="auto"/>
        <w:ind w:firstLine="0" w:firstLineChars="0"/>
        <w:textAlignment w:val="auto"/>
        <w:rPr>
          <w:rFonts w:ascii="Times New Roman"/>
          <w:color w:val="auto"/>
          <w:szCs w:val="22"/>
          <w:highlight w:val="none"/>
        </w:rPr>
      </w:pPr>
      <w:r>
        <w:rPr>
          <w:rFonts w:ascii="Times New Roman"/>
          <w:color w:val="auto"/>
          <w:szCs w:val="22"/>
          <w:highlight w:val="none"/>
        </w:rPr>
        <w:t>[</w:t>
      </w:r>
      <w:r>
        <w:rPr>
          <w:rFonts w:hint="eastAsia" w:ascii="Times New Roman"/>
          <w:color w:val="auto"/>
          <w:szCs w:val="22"/>
          <w:highlight w:val="none"/>
          <w:lang w:val="en-US" w:eastAsia="zh-CN"/>
        </w:rPr>
        <w:t>4</w:t>
      </w:r>
      <w:r>
        <w:rPr>
          <w:rFonts w:ascii="Times New Roman"/>
          <w:color w:val="auto"/>
          <w:szCs w:val="22"/>
          <w:highlight w:val="none"/>
        </w:rPr>
        <w:t>] 宁夏农业综合开发办公室，中荷排水技术在河套灌区的开发与应用[M]，宁夏人民出版社，1998</w:t>
      </w:r>
    </w:p>
    <w:p w14:paraId="4C1E1A8B">
      <w:pPr>
        <w:pStyle w:val="25"/>
        <w:keepNext w:val="0"/>
        <w:keepLines w:val="0"/>
        <w:pageBreakBefore w:val="0"/>
        <w:kinsoku/>
        <w:wordWrap/>
        <w:overflowPunct/>
        <w:topLinePunct w:val="0"/>
        <w:bidi w:val="0"/>
        <w:adjustRightInd/>
        <w:snapToGrid/>
        <w:spacing w:line="240" w:lineRule="auto"/>
        <w:ind w:firstLine="0" w:firstLineChars="0"/>
        <w:textAlignment w:val="auto"/>
        <w:rPr>
          <w:rFonts w:ascii="Times New Roman"/>
          <w:color w:val="auto"/>
          <w:kern w:val="2"/>
          <w:highlight w:val="none"/>
        </w:rPr>
      </w:pPr>
      <w:r>
        <w:rPr>
          <w:rFonts w:ascii="Times New Roman"/>
          <w:color w:val="auto"/>
          <w:szCs w:val="22"/>
          <w:highlight w:val="none"/>
        </w:rPr>
        <w:t>[</w:t>
      </w:r>
      <w:r>
        <w:rPr>
          <w:rFonts w:hint="eastAsia" w:ascii="Times New Roman"/>
          <w:color w:val="auto"/>
          <w:szCs w:val="22"/>
          <w:highlight w:val="none"/>
          <w:lang w:val="en-US" w:eastAsia="zh-CN"/>
        </w:rPr>
        <w:t>5</w:t>
      </w:r>
      <w:r>
        <w:rPr>
          <w:rFonts w:ascii="Times New Roman"/>
          <w:color w:val="auto"/>
          <w:szCs w:val="22"/>
          <w:highlight w:val="none"/>
        </w:rPr>
        <w:t>] 简·范席福嘉德，农业排水[M]，水利出版社，1982</w:t>
      </w:r>
    </w:p>
    <w:p w14:paraId="17073420">
      <w:pPr>
        <w:keepNext w:val="0"/>
        <w:keepLines w:val="0"/>
        <w:pageBreakBefore w:val="0"/>
        <w:kinsoku/>
        <w:wordWrap/>
        <w:overflowPunct/>
        <w:topLinePunct w:val="0"/>
        <w:bidi w:val="0"/>
        <w:adjustRightInd/>
        <w:snapToGrid/>
        <w:spacing w:line="240" w:lineRule="auto"/>
        <w:textAlignment w:val="auto"/>
        <w:rPr>
          <w:color w:val="auto"/>
          <w:kern w:val="0"/>
          <w:szCs w:val="22"/>
          <w:highlight w:val="none"/>
        </w:rPr>
      </w:pPr>
      <w:r>
        <w:rPr>
          <w:color w:val="auto"/>
          <w:kern w:val="0"/>
          <w:szCs w:val="22"/>
          <w:highlight w:val="none"/>
        </w:rPr>
        <w:t>[</w:t>
      </w:r>
      <w:r>
        <w:rPr>
          <w:rFonts w:hint="eastAsia"/>
          <w:color w:val="auto"/>
          <w:kern w:val="0"/>
          <w:szCs w:val="22"/>
          <w:highlight w:val="none"/>
          <w:lang w:val="en-US" w:eastAsia="zh-CN"/>
        </w:rPr>
        <w:t>6</w:t>
      </w:r>
      <w:r>
        <w:rPr>
          <w:color w:val="auto"/>
          <w:kern w:val="0"/>
          <w:szCs w:val="22"/>
          <w:highlight w:val="none"/>
        </w:rPr>
        <w:t>] 美国内务部垦务局，排水技术手册[M]，水利电力出版社，1985</w:t>
      </w:r>
    </w:p>
    <w:p w14:paraId="0D8682E5">
      <w:pPr>
        <w:keepNext w:val="0"/>
        <w:keepLines w:val="0"/>
        <w:pageBreakBefore w:val="0"/>
        <w:kinsoku/>
        <w:wordWrap/>
        <w:overflowPunct/>
        <w:topLinePunct w:val="0"/>
        <w:bidi w:val="0"/>
        <w:adjustRightInd/>
        <w:snapToGrid/>
        <w:spacing w:line="240" w:lineRule="auto"/>
        <w:textAlignment w:val="auto"/>
        <w:rPr>
          <w:rFonts w:hint="eastAsia"/>
          <w:color w:val="auto"/>
          <w:szCs w:val="22"/>
          <w:highlight w:val="none"/>
          <w:lang w:val="en-US" w:eastAsia="zh-CN"/>
        </w:rPr>
      </w:pPr>
      <w:r>
        <w:rPr>
          <w:color w:val="auto"/>
          <w:szCs w:val="22"/>
          <w:highlight w:val="none"/>
        </w:rPr>
        <w:t>[</w:t>
      </w:r>
      <w:r>
        <w:rPr>
          <w:rFonts w:hint="eastAsia"/>
          <w:color w:val="auto"/>
          <w:szCs w:val="22"/>
          <w:highlight w:val="none"/>
          <w:lang w:val="en-US" w:eastAsia="zh-CN"/>
        </w:rPr>
        <w:t>7</w:t>
      </w:r>
      <w:r>
        <w:rPr>
          <w:color w:val="auto"/>
          <w:szCs w:val="22"/>
          <w:highlight w:val="none"/>
        </w:rPr>
        <w:t>] 宁夏引黄灌区土壤盐碱化特征及分布状况[M]</w:t>
      </w:r>
      <w:r>
        <w:rPr>
          <w:rFonts w:hint="eastAsia"/>
          <w:color w:val="auto"/>
          <w:szCs w:val="22"/>
          <w:highlight w:val="none"/>
          <w:lang w:eastAsia="zh-CN"/>
        </w:rPr>
        <w:t>，</w:t>
      </w:r>
      <w:r>
        <w:rPr>
          <w:rFonts w:hint="eastAsia"/>
          <w:color w:val="auto"/>
          <w:szCs w:val="22"/>
          <w:highlight w:val="none"/>
          <w:lang w:val="en-US" w:eastAsia="zh-CN"/>
        </w:rPr>
        <w:t>宁夏人民出版社，1983</w:t>
      </w:r>
    </w:p>
    <w:p w14:paraId="7979A760">
      <w:pPr>
        <w:keepNext w:val="0"/>
        <w:keepLines w:val="0"/>
        <w:pageBreakBefore w:val="0"/>
        <w:kinsoku/>
        <w:wordWrap/>
        <w:overflowPunct/>
        <w:topLinePunct w:val="0"/>
        <w:bidi w:val="0"/>
        <w:adjustRightInd/>
        <w:snapToGrid/>
        <w:spacing w:line="240" w:lineRule="auto"/>
        <w:textAlignment w:val="auto"/>
        <w:rPr>
          <w:rFonts w:hint="default" w:ascii="Times New Roman" w:hAnsi="Times New Roman" w:eastAsia="宋体" w:cs="Times New Roman"/>
          <w:color w:val="auto"/>
          <w:kern w:val="0"/>
          <w:szCs w:val="22"/>
          <w:highlight w:val="none"/>
          <w:lang w:val="en-US" w:eastAsia="zh-CN"/>
        </w:rPr>
      </w:pPr>
      <w:r>
        <w:rPr>
          <w:rFonts w:hint="eastAsia" w:ascii="Times New Roman" w:hAnsi="Times New Roman" w:eastAsia="宋体" w:cs="Times New Roman"/>
          <w:color w:val="auto"/>
          <w:kern w:val="0"/>
          <w:szCs w:val="22"/>
          <w:highlight w:val="none"/>
          <w:lang w:val="en-US" w:eastAsia="zh-CN"/>
        </w:rPr>
        <w:t xml:space="preserve">[8] </w:t>
      </w:r>
      <w:r>
        <w:rPr>
          <w:rFonts w:hint="eastAsia" w:ascii="Times New Roman" w:hAnsi="Times New Roman" w:eastAsia="宋体" w:cs="Times New Roman"/>
          <w:color w:val="auto"/>
          <w:kern w:val="0"/>
          <w:szCs w:val="22"/>
          <w:highlight w:val="none"/>
        </w:rPr>
        <w:t>TD/T 1043.1-2013 暗管改良盐碱地技术规程，第一部分：土壤调查</w:t>
      </w:r>
    </w:p>
    <w:p w14:paraId="7D836861">
      <w:pPr>
        <w:keepNext w:val="0"/>
        <w:keepLines w:val="0"/>
        <w:pageBreakBefore w:val="0"/>
        <w:kinsoku/>
        <w:wordWrap/>
        <w:overflowPunct/>
        <w:topLinePunct w:val="0"/>
        <w:bidi w:val="0"/>
        <w:adjustRightInd/>
        <w:snapToGrid/>
        <w:spacing w:line="240" w:lineRule="auto"/>
        <w:textAlignment w:val="auto"/>
        <w:rPr>
          <w:rFonts w:hint="eastAsia" w:ascii="Times New Roman" w:hAnsi="Times New Roman" w:eastAsia="宋体" w:cs="Times New Roman"/>
          <w:color w:val="auto"/>
          <w:kern w:val="0"/>
          <w:szCs w:val="22"/>
          <w:highlight w:val="none"/>
        </w:rPr>
      </w:pPr>
      <w:r>
        <w:rPr>
          <w:rFonts w:hint="eastAsia" w:ascii="Times New Roman" w:hAnsi="Times New Roman" w:eastAsia="宋体" w:cs="Times New Roman"/>
          <w:color w:val="auto"/>
          <w:kern w:val="0"/>
          <w:szCs w:val="22"/>
          <w:highlight w:val="none"/>
          <w:lang w:val="en-US" w:eastAsia="zh-CN"/>
        </w:rPr>
        <w:t xml:space="preserve">[9] </w:t>
      </w:r>
      <w:r>
        <w:rPr>
          <w:rFonts w:hint="eastAsia" w:ascii="Times New Roman" w:hAnsi="Times New Roman" w:eastAsia="宋体" w:cs="Times New Roman"/>
          <w:color w:val="auto"/>
          <w:kern w:val="0"/>
          <w:szCs w:val="22"/>
          <w:highlight w:val="none"/>
        </w:rPr>
        <w:t>TD/T 1043.2-2013 暗管改良盐碱地技术规程，第二部分：规划设计与施工</w:t>
      </w:r>
    </w:p>
    <w:p w14:paraId="59C20977">
      <w:pPr>
        <w:pStyle w:val="133"/>
        <w:numPr>
          <w:ilvl w:val="0"/>
          <w:numId w:val="0"/>
        </w:numPr>
        <w:spacing w:before="156" w:after="156"/>
        <w:rPr>
          <w:rFonts w:hint="eastAsia"/>
          <w:color w:val="auto"/>
          <w:highlight w:val="none"/>
        </w:rPr>
      </w:pPr>
      <w:bookmarkStart w:id="456" w:name="_Toc520823513"/>
      <w:bookmarkStart w:id="457" w:name="_Toc2502"/>
      <w:bookmarkStart w:id="458" w:name="_Toc522140541"/>
      <w:bookmarkStart w:id="459" w:name="_Toc16440"/>
      <w:bookmarkStart w:id="460" w:name="_Toc27200"/>
      <w:bookmarkStart w:id="461" w:name="_Toc20518"/>
      <w:bookmarkStart w:id="462" w:name="_Toc299889811"/>
      <w:bookmarkStart w:id="463" w:name="_Toc12671"/>
      <w:bookmarkStart w:id="464" w:name="_Toc27514"/>
      <w:r>
        <w:rPr>
          <w:rFonts w:hint="eastAsia"/>
          <w:color w:val="auto"/>
          <w:highlight w:val="none"/>
        </w:rPr>
        <w:t>3 术语和定义</w:t>
      </w:r>
      <w:bookmarkEnd w:id="456"/>
      <w:bookmarkEnd w:id="457"/>
      <w:bookmarkEnd w:id="458"/>
      <w:bookmarkEnd w:id="459"/>
      <w:bookmarkEnd w:id="460"/>
      <w:bookmarkEnd w:id="461"/>
      <w:bookmarkEnd w:id="462"/>
      <w:bookmarkEnd w:id="463"/>
      <w:bookmarkEnd w:id="464"/>
    </w:p>
    <w:p w14:paraId="1B8DD48A">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eastAsia="宋体" w:cs="Times New Roman"/>
          <w:color w:val="auto"/>
          <w:highlight w:val="none"/>
          <w:lang w:val="en-US" w:eastAsia="zh-CN"/>
        </w:rPr>
      </w:pPr>
      <w:r>
        <w:rPr>
          <w:rFonts w:hint="eastAsia" w:ascii="宋体" w:hAnsi="宋体" w:eastAsia="宋体" w:cs="宋体"/>
          <w:color w:val="auto"/>
          <w:highlight w:val="none"/>
          <w:lang w:val="en-US" w:eastAsia="zh-CN"/>
        </w:rPr>
        <w:t xml:space="preserve">3.0.1 </w:t>
      </w:r>
      <w:r>
        <w:rPr>
          <w:rFonts w:hint="default" w:ascii="Times New Roman" w:hAnsi="Times New Roman" w:eastAsia="宋体" w:cs="Times New Roman"/>
          <w:color w:val="auto"/>
          <w:highlight w:val="none"/>
        </w:rPr>
        <w:t>术语和定义</w:t>
      </w:r>
      <w:r>
        <w:rPr>
          <w:rFonts w:hint="default" w:ascii="Times New Roman" w:hAnsi="Times New Roman" w:eastAsia="宋体" w:cs="Times New Roman"/>
          <w:color w:val="auto"/>
          <w:highlight w:val="none"/>
          <w:lang w:val="en-US" w:eastAsia="zh-CN"/>
        </w:rPr>
        <w:t>的编排侧重暗管排水技术和盐碱地治理两部分内容涉及的重要术语和定义。</w:t>
      </w:r>
    </w:p>
    <w:p w14:paraId="22A110FD">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cs="Times New Roman"/>
          <w:color w:val="auto"/>
          <w:highlight w:val="none"/>
        </w:rPr>
      </w:pPr>
      <w:r>
        <w:rPr>
          <w:rFonts w:hint="eastAsia" w:ascii="宋体" w:hAnsi="宋体" w:eastAsia="宋体" w:cs="宋体"/>
          <w:color w:val="auto"/>
          <w:highlight w:val="none"/>
        </w:rPr>
        <w:t>3.1</w:t>
      </w:r>
      <w:r>
        <w:rPr>
          <w:rFonts w:hint="eastAsia" w:ascii="宋体" w:hAnsi="宋体" w:eastAsia="宋体" w:cs="宋体"/>
          <w:color w:val="auto"/>
          <w:highlight w:val="none"/>
          <w:lang w:val="en-US" w:eastAsia="zh-CN"/>
        </w:rPr>
        <w:t>.</w:t>
      </w:r>
      <w:r>
        <w:rPr>
          <w:rFonts w:hint="eastAsia" w:ascii="宋体" w:hAnsi="宋体" w:eastAsia="宋体" w:cs="宋体"/>
          <w:color w:val="auto"/>
          <w:highlight w:val="none"/>
        </w:rPr>
        <w:t xml:space="preserve">0 </w:t>
      </w:r>
      <w:r>
        <w:rPr>
          <w:rFonts w:hint="default" w:ascii="Times New Roman" w:hAnsi="Times New Roman" w:cs="Times New Roman"/>
          <w:color w:val="auto"/>
          <w:highlight w:val="none"/>
        </w:rPr>
        <w:t>本规</w:t>
      </w:r>
      <w:r>
        <w:rPr>
          <w:rFonts w:hint="default" w:ascii="Times New Roman" w:hAnsi="Times New Roman" w:cs="Times New Roman"/>
          <w:color w:val="auto"/>
          <w:highlight w:val="none"/>
          <w:lang w:val="en-US" w:eastAsia="zh-CN"/>
        </w:rPr>
        <w:t>程</w:t>
      </w:r>
      <w:r>
        <w:rPr>
          <w:rFonts w:hint="default" w:ascii="Times New Roman" w:hAnsi="Times New Roman" w:cs="Times New Roman"/>
          <w:color w:val="auto"/>
          <w:highlight w:val="none"/>
        </w:rPr>
        <w:t>在对暗管排水类型划分时，取消了传统沿用暗道级别的习惯，将暗管排水工程定义为两大类型，即自流排水暗管模式和借助外动力的强制排水暗管模式。规范中对管道级别的提法只适用于集水管，例如有些暗管排水工程设计中集水管的水再进一步汇入更大一级集水管，排入集水井后强排入沟或排水承泄区。鉴于隐蔽工程的特点，除特殊情况，一般设计中不建议采用多级集水管输水。</w:t>
      </w:r>
    </w:p>
    <w:p w14:paraId="4648EB3C">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cs="Times New Roman"/>
          <w:color w:val="auto"/>
          <w:highlight w:val="none"/>
        </w:rPr>
      </w:pPr>
      <w:r>
        <w:rPr>
          <w:rFonts w:hint="eastAsia" w:ascii="宋体" w:hAnsi="宋体" w:eastAsia="宋体" w:cs="宋体"/>
          <w:color w:val="auto"/>
          <w:highlight w:val="none"/>
        </w:rPr>
        <w:t>3.1</w:t>
      </w:r>
      <w:r>
        <w:rPr>
          <w:rFonts w:hint="eastAsia" w:ascii="宋体" w:hAnsi="宋体" w:eastAsia="宋体" w:cs="宋体"/>
          <w:color w:val="auto"/>
          <w:highlight w:val="none"/>
          <w:lang w:val="en-US" w:eastAsia="zh-CN"/>
        </w:rPr>
        <w:t>.</w:t>
      </w:r>
      <w:r>
        <w:rPr>
          <w:rFonts w:hint="eastAsia" w:ascii="宋体" w:hAnsi="宋体" w:eastAsia="宋体" w:cs="宋体"/>
          <w:color w:val="auto"/>
          <w:highlight w:val="none"/>
        </w:rPr>
        <w:t xml:space="preserve">1 </w:t>
      </w:r>
      <w:r>
        <w:rPr>
          <w:rFonts w:hint="default" w:ascii="Times New Roman" w:hAnsi="Times New Roman" w:cs="Times New Roman"/>
          <w:color w:val="auto"/>
          <w:highlight w:val="none"/>
        </w:rPr>
        <w:t>建议在条件允许的情况下，充分利用地形和现有排水明沟首选自流暗管排水模式的规划设计，尽量避免采用强排暗管设计模式，如必须采用强排模式，根据已有工程实践，建议暗管排水工程控制的田间排水面积不超过1000亩。</w:t>
      </w:r>
    </w:p>
    <w:p w14:paraId="43A1A495">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ascii="Times New Roman" w:hAnsi="Times New Roman" w:cs="Times New Roman"/>
          <w:color w:val="auto"/>
          <w:highlight w:val="none"/>
        </w:rPr>
      </w:pPr>
      <w:r>
        <w:rPr>
          <w:rFonts w:hint="eastAsia" w:ascii="宋体" w:hAnsi="宋体" w:eastAsia="宋体" w:cs="宋体"/>
          <w:color w:val="auto"/>
          <w:highlight w:val="none"/>
        </w:rPr>
        <w:t>3.1</w:t>
      </w: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rPr>
        <w:t xml:space="preserve"> </w:t>
      </w:r>
      <w:r>
        <w:rPr>
          <w:rFonts w:hint="default" w:ascii="Times New Roman" w:hAnsi="Times New Roman" w:cs="Times New Roman"/>
          <w:color w:val="auto"/>
          <w:highlight w:val="none"/>
        </w:rPr>
        <w:t>近年来宁夏引黄灌区太阳能光伏泵站在暗管排水工程中得到推广应用，本规</w:t>
      </w:r>
      <w:r>
        <w:rPr>
          <w:rFonts w:hint="default" w:ascii="Times New Roman" w:hAnsi="Times New Roman" w:cs="Times New Roman"/>
          <w:color w:val="auto"/>
          <w:highlight w:val="none"/>
          <w:lang w:val="en-US" w:eastAsia="zh-CN"/>
        </w:rPr>
        <w:t>程</w:t>
      </w:r>
      <w:r>
        <w:rPr>
          <w:rFonts w:hint="default" w:ascii="Times New Roman" w:hAnsi="Times New Roman" w:cs="Times New Roman"/>
          <w:color w:val="auto"/>
          <w:highlight w:val="none"/>
        </w:rPr>
        <w:t>将太阳能光伏泵站纳入术语中，作为强排暗管排水模式中的一种主流动力系统。</w:t>
      </w:r>
    </w:p>
    <w:p w14:paraId="7CE368B1">
      <w:pPr>
        <w:pStyle w:val="133"/>
        <w:numPr>
          <w:ilvl w:val="0"/>
          <w:numId w:val="0"/>
        </w:numPr>
        <w:spacing w:before="156" w:after="156"/>
        <w:rPr>
          <w:rFonts w:hint="default" w:eastAsia="黑体"/>
          <w:color w:val="auto"/>
          <w:highlight w:val="none"/>
          <w:lang w:val="en-US" w:eastAsia="zh-CN"/>
        </w:rPr>
      </w:pPr>
      <w:bookmarkStart w:id="465" w:name="_Toc29246"/>
      <w:bookmarkStart w:id="466" w:name="_Toc1854"/>
      <w:bookmarkStart w:id="467" w:name="_Toc2596"/>
      <w:bookmarkStart w:id="468" w:name="_Toc522140542"/>
      <w:bookmarkStart w:id="469" w:name="_Toc31603"/>
      <w:bookmarkStart w:id="470" w:name="_Toc299889812"/>
      <w:bookmarkStart w:id="471" w:name="_Toc520823514"/>
      <w:bookmarkStart w:id="472" w:name="_Toc29217"/>
      <w:bookmarkStart w:id="473" w:name="_Toc7947"/>
      <w:r>
        <w:rPr>
          <w:rFonts w:hint="eastAsia"/>
          <w:color w:val="auto"/>
          <w:highlight w:val="none"/>
        </w:rPr>
        <w:t xml:space="preserve">4 </w:t>
      </w:r>
      <w:r>
        <w:rPr>
          <w:rFonts w:hint="eastAsia"/>
          <w:color w:val="auto"/>
          <w:highlight w:val="none"/>
          <w:lang w:val="en-US" w:eastAsia="zh-CN"/>
        </w:rPr>
        <w:t>土壤</w:t>
      </w:r>
      <w:r>
        <w:rPr>
          <w:rFonts w:hint="eastAsia"/>
          <w:color w:val="auto"/>
          <w:highlight w:val="none"/>
        </w:rPr>
        <w:t>调查</w:t>
      </w:r>
      <w:bookmarkEnd w:id="465"/>
      <w:bookmarkEnd w:id="466"/>
      <w:bookmarkEnd w:id="467"/>
      <w:bookmarkEnd w:id="468"/>
      <w:bookmarkEnd w:id="469"/>
      <w:bookmarkEnd w:id="470"/>
      <w:bookmarkEnd w:id="471"/>
      <w:bookmarkEnd w:id="472"/>
      <w:bookmarkEnd w:id="473"/>
      <w:r>
        <w:rPr>
          <w:rFonts w:hint="eastAsia"/>
          <w:color w:val="auto"/>
          <w:highlight w:val="none"/>
          <w:lang w:val="en-US" w:eastAsia="zh-CN"/>
        </w:rPr>
        <w:t>与基础数据收集</w:t>
      </w:r>
    </w:p>
    <w:p w14:paraId="50281165">
      <w:pPr>
        <w:keepNext w:val="0"/>
        <w:keepLines w:val="0"/>
        <w:pageBreakBefore w:val="0"/>
        <w:widowControl w:val="0"/>
        <w:kinsoku/>
        <w:wordWrap/>
        <w:overflowPunct/>
        <w:topLinePunct w:val="0"/>
        <w:autoSpaceDE/>
        <w:autoSpaceDN/>
        <w:bidi w:val="0"/>
        <w:adjustRightInd/>
        <w:snapToGrid/>
        <w:spacing w:line="240" w:lineRule="auto"/>
        <w:textAlignment w:val="auto"/>
        <w:rPr>
          <w:rFonts w:hint="default" w:eastAsia="宋体"/>
          <w:color w:val="auto"/>
          <w:highlight w:val="none"/>
          <w:lang w:val="en-US" w:eastAsia="zh-CN"/>
        </w:rPr>
      </w:pPr>
      <w:r>
        <w:rPr>
          <w:rFonts w:hint="eastAsia" w:ascii="宋体" w:hAnsi="宋体" w:eastAsia="宋体" w:cs="宋体"/>
          <w:color w:val="auto"/>
          <w:highlight w:val="none"/>
          <w:lang w:val="en-US" w:eastAsia="zh-CN"/>
        </w:rPr>
        <w:t xml:space="preserve">4.0.1 </w:t>
      </w:r>
      <w:r>
        <w:rPr>
          <w:rFonts w:hint="eastAsia"/>
          <w:color w:val="auto"/>
          <w:highlight w:val="none"/>
          <w:lang w:val="en-US" w:eastAsia="zh-CN"/>
        </w:rPr>
        <w:t>鉴于编制组多年调研发现，作为农业田间水利工程建设项目，暗管排水工程设计与施工对基础数据的调查与试验测定不够重视，而这部分内容直接影响设计、计算的准确性和工程效益的发挥，故列入本规程。</w:t>
      </w:r>
    </w:p>
    <w:p w14:paraId="38AB17AD">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4.1.1</w:t>
      </w:r>
      <w:r>
        <w:rPr>
          <w:rFonts w:hint="eastAsia"/>
          <w:color w:val="auto"/>
          <w:highlight w:val="none"/>
        </w:rPr>
        <w:t xml:space="preserve"> </w:t>
      </w:r>
      <w:r>
        <w:rPr>
          <w:color w:val="auto"/>
          <w:highlight w:val="none"/>
        </w:rPr>
        <w:t>基本资料调查包括两大部分</w:t>
      </w:r>
      <w:r>
        <w:rPr>
          <w:rFonts w:hint="eastAsia"/>
          <w:color w:val="auto"/>
          <w:highlight w:val="none"/>
        </w:rPr>
        <w:t>：</w:t>
      </w:r>
      <w:r>
        <w:rPr>
          <w:color w:val="auto"/>
          <w:highlight w:val="none"/>
        </w:rPr>
        <w:t>（1）为工程规划、设计与施工的基本勘察资料与参数；（2）项目区改良盐碱化土壤为目的的土壤调查。</w:t>
      </w:r>
    </w:p>
    <w:p w14:paraId="11266C96">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highlight w:val="none"/>
        </w:rPr>
      </w:pPr>
      <w:r>
        <w:rPr>
          <w:rFonts w:hint="eastAsia" w:ascii="宋体" w:hAnsi="宋体" w:eastAsia="宋体" w:cs="宋体"/>
          <w:color w:val="auto"/>
          <w:highlight w:val="none"/>
        </w:rPr>
        <w:t xml:space="preserve">4.1.2 </w:t>
      </w:r>
      <w:r>
        <w:rPr>
          <w:color w:val="auto"/>
          <w:highlight w:val="none"/>
        </w:rPr>
        <w:t>针对暗管排水工程设计与施工的项目区相关排水方面的调查主要涉及下面一些内容。</w:t>
      </w:r>
    </w:p>
    <w:p w14:paraId="37FE4DD0">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color w:val="auto"/>
          <w:highlight w:val="none"/>
        </w:rPr>
      </w:pPr>
      <w:bookmarkStart w:id="474" w:name="_Toc20477_WPSOffice_Level2"/>
      <w:bookmarkStart w:id="475" w:name="_Toc32024_WPSOffice_Level2"/>
      <w:r>
        <w:rPr>
          <w:color w:val="auto"/>
          <w:highlight w:val="none"/>
        </w:rPr>
        <w:t>（1）调查地形、土壤、盐分、地下水和过多的水量来源，回答以下问题</w:t>
      </w:r>
      <w:bookmarkEnd w:id="474"/>
      <w:bookmarkEnd w:id="475"/>
      <w:r>
        <w:rPr>
          <w:rFonts w:hint="eastAsia"/>
          <w:color w:val="auto"/>
          <w:highlight w:val="none"/>
        </w:rPr>
        <w:t>：</w:t>
      </w:r>
    </w:p>
    <w:p w14:paraId="5FC70B75">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①</w:t>
      </w:r>
      <w:r>
        <w:rPr>
          <w:color w:val="auto"/>
          <w:highlight w:val="none"/>
        </w:rPr>
        <w:t>现在和将来有无过多的水或盐？</w:t>
      </w:r>
    </w:p>
    <w:p w14:paraId="62388300">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②</w:t>
      </w:r>
      <w:r>
        <w:rPr>
          <w:color w:val="auto"/>
          <w:highlight w:val="none"/>
        </w:rPr>
        <w:t>有无排水出路？</w:t>
      </w:r>
    </w:p>
    <w:p w14:paraId="4BB2EF69">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③</w:t>
      </w:r>
      <w:r>
        <w:rPr>
          <w:color w:val="auto"/>
          <w:highlight w:val="none"/>
        </w:rPr>
        <w:t>过多的水和盐来源（渠道渗漏？过量灌溉用水？上游高地侧渗？）</w:t>
      </w:r>
    </w:p>
    <w:p w14:paraId="06BB17D8">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④</w:t>
      </w:r>
      <w:r>
        <w:rPr>
          <w:color w:val="auto"/>
          <w:highlight w:val="none"/>
        </w:rPr>
        <w:t>需要排出多少水和盐？</w:t>
      </w:r>
    </w:p>
    <w:p w14:paraId="3C109A1F">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⑤</w:t>
      </w:r>
      <w:r>
        <w:rPr>
          <w:color w:val="auto"/>
          <w:highlight w:val="none"/>
        </w:rPr>
        <w:t>土壤性质能否经济有效排水？</w:t>
      </w:r>
    </w:p>
    <w:p w14:paraId="6F59A906">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color w:val="auto"/>
          <w:highlight w:val="none"/>
        </w:rPr>
      </w:pPr>
      <w:bookmarkStart w:id="476" w:name="_Toc2113_WPSOffice_Level2"/>
      <w:bookmarkStart w:id="477" w:name="_Toc2234_WPSOffice_Level2"/>
      <w:r>
        <w:rPr>
          <w:color w:val="auto"/>
          <w:highlight w:val="none"/>
        </w:rPr>
        <w:t>（2）在调查中应注意查看的各项</w:t>
      </w:r>
      <w:bookmarkEnd w:id="476"/>
      <w:bookmarkEnd w:id="477"/>
      <w:r>
        <w:rPr>
          <w:rFonts w:hint="eastAsia"/>
          <w:color w:val="auto"/>
          <w:highlight w:val="none"/>
          <w:lang w:val="en-US" w:eastAsia="zh-CN"/>
        </w:rPr>
        <w:t>要点</w:t>
      </w:r>
      <w:r>
        <w:rPr>
          <w:rFonts w:hint="eastAsia"/>
          <w:color w:val="auto"/>
          <w:highlight w:val="none"/>
        </w:rPr>
        <w:t>：</w:t>
      </w:r>
    </w:p>
    <w:p w14:paraId="0B54FCB1">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①</w:t>
      </w:r>
      <w:r>
        <w:rPr>
          <w:color w:val="auto"/>
          <w:highlight w:val="none"/>
        </w:rPr>
        <w:t>排水沟或天然河道的位置与排水能力；</w:t>
      </w:r>
    </w:p>
    <w:p w14:paraId="16956789">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②</w:t>
      </w:r>
      <w:r>
        <w:rPr>
          <w:color w:val="auto"/>
          <w:highlight w:val="none"/>
        </w:rPr>
        <w:t>排水出路的位置及其状况；</w:t>
      </w:r>
    </w:p>
    <w:p w14:paraId="2DF77AC7">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③</w:t>
      </w:r>
      <w:r>
        <w:rPr>
          <w:color w:val="auto"/>
          <w:highlight w:val="none"/>
        </w:rPr>
        <w:t>排水沟高水位、低水位；</w:t>
      </w:r>
    </w:p>
    <w:p w14:paraId="731466A6">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④</w:t>
      </w:r>
      <w:r>
        <w:rPr>
          <w:color w:val="auto"/>
          <w:highlight w:val="none"/>
        </w:rPr>
        <w:t>干渠、支渠位置及其特征（衬砌情况、完好程度）；</w:t>
      </w:r>
    </w:p>
    <w:p w14:paraId="0A4A9FF9">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⑤</w:t>
      </w:r>
      <w:r>
        <w:rPr>
          <w:color w:val="auto"/>
          <w:highlight w:val="none"/>
        </w:rPr>
        <w:t>灌水方法、亩均用水量和灌溉效率；</w:t>
      </w:r>
    </w:p>
    <w:p w14:paraId="6FD3921B">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⑥</w:t>
      </w:r>
      <w:r>
        <w:rPr>
          <w:color w:val="auto"/>
          <w:highlight w:val="none"/>
        </w:rPr>
        <w:t>地下水位埋深及水位变化情况；</w:t>
      </w:r>
    </w:p>
    <w:p w14:paraId="61A2CF9B">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⑦</w:t>
      </w:r>
      <w:r>
        <w:rPr>
          <w:color w:val="auto"/>
          <w:highlight w:val="none"/>
        </w:rPr>
        <w:t>现有田间渠道间距与沟道间距、深度、淤积等；</w:t>
      </w:r>
    </w:p>
    <w:p w14:paraId="1889A9AF">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⑧</w:t>
      </w:r>
      <w:r>
        <w:rPr>
          <w:color w:val="auto"/>
          <w:highlight w:val="none"/>
        </w:rPr>
        <w:t>土壤盐碱化迹象；</w:t>
      </w:r>
    </w:p>
    <w:p w14:paraId="4F905534">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⑨</w:t>
      </w:r>
      <w:r>
        <w:rPr>
          <w:color w:val="auto"/>
          <w:highlight w:val="none"/>
        </w:rPr>
        <w:t>作物种植、轮灌情况及地面平整程度情况等。</w:t>
      </w:r>
    </w:p>
    <w:p w14:paraId="6633D8EA">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bookmarkStart w:id="478" w:name="_Toc21356_WPSOffice_Level2"/>
      <w:bookmarkStart w:id="479" w:name="_Toc7188_WPSOffice_Level2"/>
      <w:r>
        <w:rPr>
          <w:color w:val="auto"/>
          <w:highlight w:val="none"/>
        </w:rPr>
        <w:t>（3）地下水调查</w:t>
      </w:r>
      <w:bookmarkEnd w:id="478"/>
      <w:bookmarkEnd w:id="479"/>
    </w:p>
    <w:p w14:paraId="35D10263">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rFonts w:hint="eastAsia"/>
          <w:color w:val="auto"/>
          <w:highlight w:val="none"/>
        </w:rPr>
      </w:pPr>
      <w:r>
        <w:rPr>
          <w:color w:val="auto"/>
          <w:highlight w:val="none"/>
        </w:rPr>
        <w:t>研究过量灌溉而造成的排水问题时应调查的方面有一次灌水对地下水位的影响、灌溉季节和停灌期间地下水位变化情况，并编制以下图件</w:t>
      </w:r>
      <w:r>
        <w:rPr>
          <w:rFonts w:hint="eastAsia"/>
          <w:color w:val="auto"/>
          <w:highlight w:val="none"/>
        </w:rPr>
        <w:t>：</w:t>
      </w:r>
    </w:p>
    <w:p w14:paraId="09518DE1">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①</w:t>
      </w:r>
      <w:r>
        <w:rPr>
          <w:color w:val="auto"/>
          <w:highlight w:val="none"/>
        </w:rPr>
        <w:t>地下水位等高线图；</w:t>
      </w:r>
    </w:p>
    <w:p w14:paraId="48B3FB4F">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②</w:t>
      </w:r>
      <w:r>
        <w:rPr>
          <w:color w:val="auto"/>
          <w:highlight w:val="none"/>
        </w:rPr>
        <w:t>地下水埋深图；</w:t>
      </w:r>
    </w:p>
    <w:p w14:paraId="05EA7FEB">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③</w:t>
      </w:r>
      <w:r>
        <w:rPr>
          <w:color w:val="auto"/>
          <w:highlight w:val="none"/>
        </w:rPr>
        <w:t>地下水剖面图；</w:t>
      </w:r>
    </w:p>
    <w:p w14:paraId="59126B4D">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ascii="宋体" w:hAnsi="宋体"/>
          <w:color w:val="auto"/>
          <w:highlight w:val="none"/>
        </w:rPr>
        <w:t>④</w:t>
      </w:r>
      <w:r>
        <w:rPr>
          <w:color w:val="auto"/>
          <w:highlight w:val="none"/>
        </w:rPr>
        <w:t>地下水位过程线图。</w:t>
      </w:r>
    </w:p>
    <w:p w14:paraId="53771372">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4.1.3</w:t>
      </w:r>
      <w:r>
        <w:rPr>
          <w:color w:val="auto"/>
          <w:highlight w:val="none"/>
        </w:rPr>
        <w:t xml:space="preserve"> 调查与研究越详细，可能暗管排水工程规划设计就越科学合理。</w:t>
      </w:r>
    </w:p>
    <w:p w14:paraId="379369AF">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4.2</w:t>
      </w:r>
      <w:r>
        <w:rPr>
          <w:rFonts w:hint="eastAsia" w:ascii="宋体" w:hAnsi="宋体" w:eastAsia="宋体" w:cs="宋体"/>
          <w:color w:val="auto"/>
          <w:highlight w:val="none"/>
          <w:lang w:val="en-US" w:eastAsia="zh-CN"/>
        </w:rPr>
        <w:t>~</w:t>
      </w:r>
      <w:r>
        <w:rPr>
          <w:rFonts w:hint="eastAsia" w:ascii="宋体" w:hAnsi="宋体" w:eastAsia="宋体" w:cs="宋体"/>
          <w:color w:val="auto"/>
          <w:highlight w:val="none"/>
        </w:rPr>
        <w:t>4.3</w:t>
      </w:r>
      <w:r>
        <w:rPr>
          <w:rFonts w:hint="eastAsia"/>
          <w:color w:val="auto"/>
          <w:highlight w:val="none"/>
          <w:lang w:val="en-US" w:eastAsia="zh-CN"/>
        </w:rPr>
        <w:t>中</w:t>
      </w:r>
      <w:r>
        <w:rPr>
          <w:color w:val="auto"/>
          <w:highlight w:val="none"/>
        </w:rPr>
        <w:t>规定</w:t>
      </w:r>
      <w:r>
        <w:rPr>
          <w:rFonts w:hint="eastAsia"/>
          <w:color w:val="auto"/>
          <w:highlight w:val="none"/>
        </w:rPr>
        <w:t>的具体计算、试验测试方法和操作规程，也可执行农业土壤调查的有关标准，或参考</w:t>
      </w:r>
      <w:r>
        <w:rPr>
          <w:rFonts w:hint="eastAsia"/>
          <w:color w:val="auto"/>
          <w:szCs w:val="22"/>
          <w:highlight w:val="none"/>
        </w:rPr>
        <w:t>TD/T 1043.1-2013暗管改良盐碱地技术规程</w:t>
      </w:r>
      <w:r>
        <w:rPr>
          <w:rFonts w:hint="eastAsia"/>
          <w:color w:val="auto"/>
          <w:highlight w:val="none"/>
        </w:rPr>
        <w:t>的相关规定。</w:t>
      </w:r>
      <w:r>
        <w:rPr>
          <w:rFonts w:hint="eastAsia"/>
          <w:color w:val="auto"/>
          <w:highlight w:val="none"/>
          <w:lang w:val="en-US" w:eastAsia="zh-CN"/>
        </w:rPr>
        <w:t>如果</w:t>
      </w:r>
      <w:r>
        <w:rPr>
          <w:color w:val="auto"/>
          <w:highlight w:val="none"/>
        </w:rPr>
        <w:t>无改良盐碱地的任务，</w:t>
      </w:r>
      <w:r>
        <w:rPr>
          <w:rFonts w:hint="eastAsia"/>
          <w:color w:val="auto"/>
          <w:highlight w:val="none"/>
          <w:lang w:val="en-US" w:eastAsia="zh-CN"/>
        </w:rPr>
        <w:t>则</w:t>
      </w:r>
      <w:r>
        <w:rPr>
          <w:color w:val="auto"/>
          <w:highlight w:val="none"/>
        </w:rPr>
        <w:t>可以</w:t>
      </w:r>
      <w:r>
        <w:rPr>
          <w:rFonts w:hint="eastAsia"/>
          <w:color w:val="auto"/>
          <w:highlight w:val="none"/>
        </w:rPr>
        <w:t>酌情</w:t>
      </w:r>
      <w:r>
        <w:rPr>
          <w:color w:val="auto"/>
          <w:highlight w:val="none"/>
        </w:rPr>
        <w:t>简化。</w:t>
      </w:r>
    </w:p>
    <w:p w14:paraId="259E6DFC">
      <w:pPr>
        <w:pStyle w:val="133"/>
        <w:numPr>
          <w:ilvl w:val="0"/>
          <w:numId w:val="0"/>
        </w:numPr>
        <w:spacing w:before="156" w:after="156"/>
        <w:rPr>
          <w:rFonts w:hint="eastAsia"/>
          <w:color w:val="auto"/>
          <w:highlight w:val="none"/>
        </w:rPr>
      </w:pPr>
      <w:bookmarkStart w:id="480" w:name="_Toc31348"/>
      <w:bookmarkStart w:id="481" w:name="_Toc520823515"/>
      <w:bookmarkStart w:id="482" w:name="_Toc299889813"/>
      <w:bookmarkStart w:id="483" w:name="_Toc9367"/>
      <w:bookmarkStart w:id="484" w:name="_Toc522140543"/>
      <w:bookmarkStart w:id="485" w:name="_Toc16960"/>
      <w:bookmarkStart w:id="486" w:name="_Toc30229"/>
      <w:bookmarkStart w:id="487" w:name="_Toc7186"/>
      <w:bookmarkStart w:id="488" w:name="_Toc3352"/>
      <w:r>
        <w:rPr>
          <w:rFonts w:hint="eastAsia"/>
          <w:color w:val="auto"/>
          <w:highlight w:val="none"/>
        </w:rPr>
        <w:t>5 规 划</w:t>
      </w:r>
      <w:bookmarkEnd w:id="480"/>
      <w:bookmarkEnd w:id="481"/>
      <w:bookmarkEnd w:id="482"/>
      <w:bookmarkEnd w:id="483"/>
      <w:bookmarkEnd w:id="484"/>
      <w:bookmarkEnd w:id="485"/>
      <w:bookmarkEnd w:id="486"/>
      <w:bookmarkEnd w:id="487"/>
      <w:bookmarkEnd w:id="488"/>
    </w:p>
    <w:p w14:paraId="1AC154FA">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5.1.1</w:t>
      </w:r>
      <w:r>
        <w:rPr>
          <w:rFonts w:hint="eastAsia"/>
          <w:color w:val="auto"/>
          <w:highlight w:val="none"/>
        </w:rPr>
        <w:t xml:space="preserve"> </w:t>
      </w:r>
      <w:r>
        <w:rPr>
          <w:color w:val="auto"/>
          <w:highlight w:val="none"/>
        </w:rPr>
        <w:t>本</w:t>
      </w:r>
      <w:r>
        <w:rPr>
          <w:rFonts w:hint="eastAsia"/>
          <w:color w:val="auto"/>
          <w:highlight w:val="none"/>
          <w:lang w:val="en-US" w:eastAsia="zh-CN"/>
        </w:rPr>
        <w:t>规程</w:t>
      </w:r>
      <w:r>
        <w:rPr>
          <w:color w:val="auto"/>
          <w:highlight w:val="none"/>
        </w:rPr>
        <w:t>中的</w:t>
      </w:r>
      <w:r>
        <w:rPr>
          <w:rFonts w:hint="eastAsia"/>
          <w:color w:val="auto"/>
          <w:highlight w:val="none"/>
        </w:rPr>
        <w:t>“</w:t>
      </w:r>
      <w:r>
        <w:rPr>
          <w:color w:val="auto"/>
          <w:highlight w:val="none"/>
        </w:rPr>
        <w:t>项目区</w:t>
      </w:r>
      <w:r>
        <w:rPr>
          <w:rFonts w:hint="eastAsia"/>
          <w:color w:val="auto"/>
          <w:highlight w:val="none"/>
        </w:rPr>
        <w:t>”是指</w:t>
      </w:r>
      <w:r>
        <w:rPr>
          <w:color w:val="auto"/>
          <w:highlight w:val="none"/>
        </w:rPr>
        <w:t>具有涝渍、盐害危害，明沟排水存在困难，需要在田间建设暗管排水工程的</w:t>
      </w:r>
      <w:r>
        <w:rPr>
          <w:rFonts w:hint="eastAsia"/>
          <w:color w:val="auto"/>
          <w:highlight w:val="none"/>
        </w:rPr>
        <w:t>高标准农田</w:t>
      </w:r>
      <w:r>
        <w:rPr>
          <w:color w:val="auto"/>
          <w:highlight w:val="none"/>
        </w:rPr>
        <w:t>或垦植区。为此，首先应对项目区的现状进行充分调查和了解，具体执行本规范第四部分要求及相关技术标准的规定。根据现状农田排水设施运行中存在的问题及现代农业发展中高标准农田对排水方面的要求，合理制定规划目标和排水标准，并依据此规划目标和排水标准进行田间暗管排水系统的规划。由于农田暗管排水工程与项目区内的灌溉、防洪以及其他排水设施密切相关，同时还受到土地利用规划的制约，在满足农田排水要求的同时，针对灌溉保证率低的项目区，可以充分利用暗管排水的水质得到土壤天然净化的优势，考虑暗管排水再利用，已解决灌溉水资源短缺问题。</w:t>
      </w:r>
    </w:p>
    <w:p w14:paraId="13CFD1CD">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5.1.2 </w:t>
      </w:r>
      <w:r>
        <w:rPr>
          <w:rFonts w:hint="eastAsia"/>
          <w:color w:val="auto"/>
          <w:highlight w:val="none"/>
        </w:rPr>
        <w:t>宁夏自然地理存在明显的带状分布，按降水等值线结合区域地貌单元，分为三大地理单元，即北部引黄灌区（降水量小于</w:t>
      </w:r>
      <w:r>
        <w:rPr>
          <w:color w:val="auto"/>
          <w:highlight w:val="none"/>
        </w:rPr>
        <w:t>200mm</w:t>
      </w:r>
      <w:r>
        <w:rPr>
          <w:rFonts w:hint="eastAsia"/>
          <w:color w:val="auto"/>
          <w:highlight w:val="none"/>
        </w:rPr>
        <w:t>）、中部干旱风沙区（简称中部干旱带，降水量在</w:t>
      </w:r>
      <w:r>
        <w:rPr>
          <w:color w:val="auto"/>
          <w:highlight w:val="none"/>
        </w:rPr>
        <w:t>200</w:t>
      </w:r>
      <w:r>
        <w:rPr>
          <w:rFonts w:hint="eastAsia"/>
          <w:color w:val="auto"/>
          <w:highlight w:val="none"/>
        </w:rPr>
        <w:t>～</w:t>
      </w:r>
      <w:r>
        <w:rPr>
          <w:color w:val="auto"/>
          <w:highlight w:val="none"/>
        </w:rPr>
        <w:t>400mm</w:t>
      </w:r>
      <w:r>
        <w:rPr>
          <w:rFonts w:hint="eastAsia"/>
          <w:color w:val="auto"/>
          <w:highlight w:val="none"/>
        </w:rPr>
        <w:t>之间）和南部黄土丘陵区（亦称南部山区，降水量大于</w:t>
      </w:r>
      <w:r>
        <w:rPr>
          <w:color w:val="auto"/>
          <w:highlight w:val="none"/>
        </w:rPr>
        <w:t>400mm</w:t>
      </w:r>
      <w:r>
        <w:rPr>
          <w:rFonts w:hint="eastAsia"/>
          <w:color w:val="auto"/>
          <w:highlight w:val="none"/>
        </w:rPr>
        <w:t>）。</w:t>
      </w:r>
    </w:p>
    <w:p w14:paraId="387165ED">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rFonts w:hint="eastAsia"/>
          <w:color w:val="auto"/>
          <w:highlight w:val="none"/>
        </w:rPr>
        <w:t>（</w:t>
      </w:r>
      <w:r>
        <w:rPr>
          <w:color w:val="auto"/>
          <w:highlight w:val="none"/>
        </w:rPr>
        <w:t>1</w:t>
      </w:r>
      <w:r>
        <w:rPr>
          <w:rFonts w:hint="eastAsia"/>
          <w:color w:val="auto"/>
          <w:highlight w:val="none"/>
        </w:rPr>
        <w:t>）（扬）黄灌区基本涵盖宁夏黄河冲积平原地区，通常地形起伏较小，排水不畅。应以规划排涝和调控地下水位为主。</w:t>
      </w:r>
    </w:p>
    <w:p w14:paraId="703C0147">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2）次生盐渍化灌区，对盐碱化土壤的治理，除采用冲洗改良和有效调控地下水位的排水措施外，田间暗管排水工程还应与其他排水措施相结合，配合使用灌溉、农业和生物等措施，进行综合治理。碱化土壤还应采用适当的化学剂（如石膏等）才能取得较好的改良效果。</w:t>
      </w:r>
    </w:p>
    <w:p w14:paraId="2695AEF2">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（3）库井灌区地处黄土丘陵山区，应结合山丘区的自然特点，在确需建设暗管排水工程的灌区，应结合水土保持、山丘综合开发和小流域治理规划，根据具体情况，因地制宜规划相应的暗管排水或截渗工程。</w:t>
      </w:r>
    </w:p>
    <w:p w14:paraId="55F990F6">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5.1.3 </w:t>
      </w:r>
      <w:r>
        <w:rPr>
          <w:rFonts w:hint="eastAsia"/>
          <w:color w:val="auto"/>
          <w:highlight w:val="none"/>
        </w:rPr>
        <w:t xml:space="preserve"> </w:t>
      </w:r>
      <w:r>
        <w:rPr>
          <w:color w:val="auto"/>
          <w:highlight w:val="none"/>
        </w:rPr>
        <w:t>暗管排水工程虽然可用于各种土壤的农田地下水位调控，且具有不占耕地、便于田间机械化作业等优点，但因其一次性工程投资较大，技术要求较高，所以规划中采用暗管排水措施时，应按本条规定，进行技术方案比较，以保证暗管排水工程规划的合理性与系统整体较优。</w:t>
      </w:r>
    </w:p>
    <w:p w14:paraId="1F44CF66">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5.2.1 </w:t>
      </w:r>
      <w:r>
        <w:rPr>
          <w:rFonts w:hint="eastAsia"/>
          <w:color w:val="auto"/>
          <w:highlight w:val="none"/>
        </w:rPr>
        <w:t xml:space="preserve"> </w:t>
      </w:r>
      <w:r>
        <w:rPr>
          <w:color w:val="auto"/>
          <w:highlight w:val="none"/>
        </w:rPr>
        <w:t>暗管排水工程主要用于田间治理渍害和防治土壤盐碱化。通常只设一级吸水管或加设一级集水管后排水入明沟。吸水管是埋设在田间的最末一级透水暗管，因而应具有良好的吸聚地下水流和导水能力。</w:t>
      </w:r>
      <w:r>
        <w:rPr>
          <w:rFonts w:hint="eastAsia"/>
          <w:color w:val="auto"/>
          <w:highlight w:val="none"/>
        </w:rPr>
        <w:t>集水管</w:t>
      </w:r>
      <w:r>
        <w:rPr>
          <w:color w:val="auto"/>
          <w:highlight w:val="none"/>
        </w:rPr>
        <w:t>是汇集若干条吸水管流量的暗管，其排水控制面积，在黏性土地区相当于农沟，在砂性土地区相当于斗沟。承泄暗管排水的明沟，其深度应满足暗管自流排水的要求。</w:t>
      </w:r>
    </w:p>
    <w:p w14:paraId="29B4EE0C">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eastAsia="宋体"/>
          <w:color w:val="auto"/>
          <w:highlight w:val="none"/>
          <w:lang w:val="en-US" w:eastAsia="zh-CN"/>
        </w:rPr>
      </w:pPr>
      <w:r>
        <w:rPr>
          <w:rFonts w:hint="eastAsia" w:ascii="宋体" w:hAnsi="宋体" w:eastAsia="宋体" w:cs="宋体"/>
          <w:color w:val="auto"/>
          <w:highlight w:val="none"/>
        </w:rPr>
        <w:t xml:space="preserve">5.2.2 </w:t>
      </w:r>
      <w:r>
        <w:rPr>
          <w:rFonts w:hint="eastAsia"/>
          <w:color w:val="auto"/>
          <w:highlight w:val="none"/>
        </w:rPr>
        <w:t xml:space="preserve"> </w:t>
      </w:r>
      <w:r>
        <w:rPr>
          <w:color w:val="auto"/>
          <w:highlight w:val="none"/>
        </w:rPr>
        <w:t>具体规划布置暗管的类型时，应首选自流排水方式，如无法满足排水要求，再考虑强排模式。应统筹兼顾，以技术先进合理，投资少，效果优为原则规划暗管</w:t>
      </w:r>
      <w:r>
        <w:rPr>
          <w:rFonts w:hint="eastAsia"/>
          <w:color w:val="auto"/>
          <w:highlight w:val="none"/>
          <w:lang w:val="en-US" w:eastAsia="zh-CN"/>
        </w:rPr>
        <w:t>排水工程的</w:t>
      </w:r>
      <w:r>
        <w:rPr>
          <w:color w:val="auto"/>
          <w:highlight w:val="none"/>
        </w:rPr>
        <w:t>布局。</w:t>
      </w:r>
    </w:p>
    <w:p w14:paraId="1DBBABD5">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5.3.1</w:t>
      </w:r>
      <w:r>
        <w:rPr>
          <w:rFonts w:hint="eastAsia"/>
          <w:color w:val="auto"/>
          <w:highlight w:val="none"/>
        </w:rPr>
        <w:t xml:space="preserve">  </w:t>
      </w:r>
      <w:r>
        <w:rPr>
          <w:color w:val="auto"/>
          <w:highlight w:val="none"/>
        </w:rPr>
        <w:t>地形平坦的引黄平原灌区，采用吸水管布置在集水管（沟）两侧呈正交的形式，与斜交的形式比较，可以减少单位面积的吸水管长度和工程投资；但斜交的形式有利于两级管道都能利用自然坡降，故应酌情使用</w:t>
      </w:r>
      <w:r>
        <w:rPr>
          <w:rFonts w:hint="eastAsia"/>
          <w:color w:val="auto"/>
          <w:highlight w:val="none"/>
          <w:lang w:eastAsia="zh-CN"/>
        </w:rPr>
        <w:t>。</w:t>
      </w:r>
      <w:r>
        <w:rPr>
          <w:rFonts w:hint="eastAsia"/>
          <w:color w:val="auto"/>
          <w:highlight w:val="none"/>
          <w:lang w:val="en-US" w:eastAsia="zh-CN"/>
        </w:rPr>
        <w:t>注意：本规程所谓的两管斜交是指沿水流方向呈锐角的连接方式</w:t>
      </w:r>
      <w:r>
        <w:rPr>
          <w:color w:val="auto"/>
          <w:highlight w:val="none"/>
        </w:rPr>
        <w:t>。</w:t>
      </w:r>
    </w:p>
    <w:p w14:paraId="629C1300">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5.3.2</w:t>
      </w:r>
      <w:r>
        <w:rPr>
          <w:rFonts w:hint="eastAsia"/>
          <w:color w:val="auto"/>
          <w:highlight w:val="none"/>
        </w:rPr>
        <w:t xml:space="preserve">  </w:t>
      </w:r>
      <w:r>
        <w:rPr>
          <w:color w:val="auto"/>
          <w:highlight w:val="none"/>
        </w:rPr>
        <w:t>在平原缓坡地形区，已有的田间灌排渠系多采用单向布置形式，因而吸水管也应布置在集水管（沟）一侧，并根据吸水管的设计纵坡确定其与集水管（沟）</w:t>
      </w:r>
      <w:r>
        <w:rPr>
          <w:rFonts w:hint="eastAsia"/>
          <w:color w:val="auto"/>
          <w:highlight w:val="none"/>
          <w:lang w:val="en-US" w:eastAsia="zh-CN"/>
        </w:rPr>
        <w:t>水流方向</w:t>
      </w:r>
      <w:r>
        <w:rPr>
          <w:color w:val="auto"/>
          <w:highlight w:val="none"/>
        </w:rPr>
        <w:t>正交或</w:t>
      </w:r>
      <w:r>
        <w:rPr>
          <w:rFonts w:hint="eastAsia"/>
          <w:color w:val="auto"/>
          <w:highlight w:val="none"/>
          <w:lang w:val="en-US" w:eastAsia="zh-CN"/>
        </w:rPr>
        <w:t>斜交</w:t>
      </w:r>
      <w:r>
        <w:rPr>
          <w:color w:val="auto"/>
          <w:highlight w:val="none"/>
        </w:rPr>
        <w:t>。</w:t>
      </w:r>
    </w:p>
    <w:p w14:paraId="6DE74A2B">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5.3.3 </w:t>
      </w:r>
      <w:r>
        <w:rPr>
          <w:rFonts w:hint="eastAsia"/>
          <w:color w:val="auto"/>
          <w:highlight w:val="none"/>
        </w:rPr>
        <w:t xml:space="preserve"> </w:t>
      </w:r>
      <w:r>
        <w:rPr>
          <w:color w:val="auto"/>
          <w:highlight w:val="none"/>
        </w:rPr>
        <w:t>稻田内埋置的吸水管若无排水控制设施，不利于保水、保肥和按水稻生理需水进行不同生育期的田间水管理。因此，建议在水稻种植田块内的吸水管出口处，设置控制阀门，可以逐条设置阀门，也可以若干条联合设置控制闸阀。在地形平坦的区域，若田块高程、作物种类和灌排要求等都一致的地段，在集水管（沟）出口设置节制闸进行分区控制，方便协调管理。</w:t>
      </w:r>
    </w:p>
    <w:p w14:paraId="5FB10A8B">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5.4.1</w:t>
      </w:r>
      <w:r>
        <w:rPr>
          <w:rFonts w:hint="eastAsia"/>
          <w:color w:val="auto"/>
          <w:highlight w:val="none"/>
        </w:rPr>
        <w:t xml:space="preserve">  </w:t>
      </w:r>
      <w:r>
        <w:rPr>
          <w:color w:val="auto"/>
          <w:highlight w:val="none"/>
        </w:rPr>
        <w:t>在涝渍、盐碱兼治的地区，排水系统若全部采用暗管不够经济合理；若项目区为轻质土而全部采用明沟时，往往沟道极易塌淤且维修养护难度大，无法保证排水效果。因而在斗、农沟控制的田块内，修建成涝水明排、渍水暗排、明暗结合的组合排水系统，可能是经济可行的规划方案。</w:t>
      </w:r>
    </w:p>
    <w:p w14:paraId="3D390F10">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5.4.2 </w:t>
      </w:r>
      <w:r>
        <w:rPr>
          <w:rFonts w:hint="eastAsia"/>
          <w:color w:val="auto"/>
          <w:highlight w:val="none"/>
        </w:rPr>
        <w:t xml:space="preserve"> </w:t>
      </w:r>
      <w:r>
        <w:rPr>
          <w:color w:val="auto"/>
          <w:highlight w:val="none"/>
        </w:rPr>
        <w:t>在黏质土地区采用暗管排水治渍时，由于黏质土的透水性能较差，要求间距较密，因而投资较大。若在田间采用适当深度的</w:t>
      </w:r>
      <w:r>
        <w:rPr>
          <w:rFonts w:hint="eastAsia"/>
          <w:color w:val="auto"/>
          <w:highlight w:val="none"/>
        </w:rPr>
        <w:t>暗管</w:t>
      </w:r>
      <w:r>
        <w:rPr>
          <w:color w:val="auto"/>
          <w:highlight w:val="none"/>
        </w:rPr>
        <w:t>与较浅密的临时性明沟或鼠道、线缝沟构成组合排水，可及时排除田面的雨涝积水和犁底层的上层滞水，加快地下水位的降落。这样可以适当增大暗管间距，节约工程投资。若再辅以松土、改土等措施，则治理效果更佳。</w:t>
      </w:r>
    </w:p>
    <w:p w14:paraId="5C35240B">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5.5.1 </w:t>
      </w:r>
      <w:r>
        <w:rPr>
          <w:rFonts w:hint="eastAsia"/>
          <w:color w:val="auto"/>
          <w:highlight w:val="none"/>
        </w:rPr>
        <w:t xml:space="preserve"> </w:t>
      </w:r>
      <w:r>
        <w:rPr>
          <w:color w:val="auto"/>
          <w:highlight w:val="none"/>
        </w:rPr>
        <w:t>在库井灌区或黄土丘陵山区规划布置暗管排水设施时，应与防洪与除涝明沟、雨水蓄集系统相结合，形成灌排蓄一体化。</w:t>
      </w:r>
    </w:p>
    <w:p w14:paraId="2F305BFA">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color w:val="auto"/>
          <w:highlight w:val="none"/>
        </w:rPr>
      </w:pPr>
      <w:r>
        <w:rPr>
          <w:rFonts w:hint="eastAsia" w:ascii="宋体" w:hAnsi="宋体" w:eastAsia="宋体" w:cs="宋体"/>
          <w:color w:val="auto"/>
          <w:highlight w:val="none"/>
        </w:rPr>
        <w:t>5.5.2</w:t>
      </w:r>
      <w:r>
        <w:rPr>
          <w:rFonts w:hint="eastAsia"/>
          <w:color w:val="auto"/>
          <w:highlight w:val="none"/>
        </w:rPr>
        <w:t xml:space="preserve">  </w:t>
      </w:r>
      <w:r>
        <w:rPr>
          <w:color w:val="auto"/>
          <w:highlight w:val="none"/>
        </w:rPr>
        <w:t>山丘区梯田里坎处的土地宜受上部来水治渍，具有截流作用的吸水管间距应自里坎向外递增，其条数视里坎的受渍宽度和程度及截流吸水管的作用范围而定。</w:t>
      </w:r>
    </w:p>
    <w:p w14:paraId="3B2C6F81">
      <w:pPr>
        <w:pStyle w:val="133"/>
        <w:numPr>
          <w:ilvl w:val="0"/>
          <w:numId w:val="0"/>
        </w:numPr>
        <w:spacing w:before="156" w:after="156"/>
        <w:rPr>
          <w:rFonts w:hint="eastAsia"/>
          <w:color w:val="auto"/>
          <w:highlight w:val="none"/>
        </w:rPr>
      </w:pPr>
      <w:bookmarkStart w:id="489" w:name="_Toc32336"/>
      <w:bookmarkStart w:id="490" w:name="_Toc299889814"/>
      <w:bookmarkStart w:id="491" w:name="_Toc3299"/>
      <w:bookmarkStart w:id="492" w:name="_Toc24242"/>
      <w:bookmarkStart w:id="493" w:name="_Toc522140544"/>
      <w:bookmarkStart w:id="494" w:name="_Toc21802"/>
      <w:bookmarkStart w:id="495" w:name="_Toc520823516"/>
      <w:bookmarkStart w:id="496" w:name="_Toc5929"/>
      <w:bookmarkStart w:id="497" w:name="_Toc28299"/>
      <w:r>
        <w:rPr>
          <w:rFonts w:hint="eastAsia"/>
          <w:color w:val="auto"/>
          <w:highlight w:val="none"/>
        </w:rPr>
        <w:t>6 设 计</w:t>
      </w:r>
      <w:bookmarkEnd w:id="489"/>
      <w:bookmarkEnd w:id="490"/>
      <w:bookmarkEnd w:id="491"/>
      <w:bookmarkEnd w:id="492"/>
      <w:bookmarkEnd w:id="493"/>
      <w:bookmarkEnd w:id="494"/>
      <w:bookmarkEnd w:id="495"/>
      <w:bookmarkEnd w:id="496"/>
      <w:bookmarkEnd w:id="497"/>
    </w:p>
    <w:p w14:paraId="779FFB3A">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6.</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w:t>
      </w:r>
      <w:r>
        <w:rPr>
          <w:rFonts w:hint="eastAsia" w:ascii="宋体" w:hAnsi="宋体" w:eastAsia="宋体" w:cs="宋体"/>
          <w:color w:val="auto"/>
          <w:highlight w:val="none"/>
          <w:lang w:val="en-US" w:eastAsia="zh-CN"/>
        </w:rPr>
        <w:t>1</w:t>
      </w:r>
      <w:r>
        <w:rPr>
          <w:rFonts w:hint="eastAsia"/>
          <w:color w:val="auto"/>
          <w:highlight w:val="none"/>
        </w:rPr>
        <w:t xml:space="preserve"> </w:t>
      </w:r>
      <w:r>
        <w:rPr>
          <w:color w:val="auto"/>
          <w:highlight w:val="none"/>
        </w:rPr>
        <w:t>本规</w:t>
      </w:r>
      <w:r>
        <w:rPr>
          <w:rFonts w:hint="eastAsia"/>
          <w:color w:val="auto"/>
          <w:highlight w:val="none"/>
          <w:lang w:val="en-US" w:eastAsia="zh-CN"/>
        </w:rPr>
        <w:t>程</w:t>
      </w:r>
      <w:r>
        <w:rPr>
          <w:color w:val="auto"/>
          <w:highlight w:val="none"/>
        </w:rPr>
        <w:t>要求按排涝标准、排渍标准和防治土壤盐碱化三类情况计算地下排水模数，选取较大值作为暗管排水工程的控制排水标准。根据暗管排水工程设计与实践经验，一般情况下，银北灌区暗管排水标准受排渍模数的控制；对于改良盐碱地的暗管排水工程，如需水利措施淋洗土壤盐分时，水利冲洗改良盐碱地的排水模数值略大一些。</w:t>
      </w:r>
    </w:p>
    <w:p w14:paraId="67B55D6A">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6.</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w:t>
      </w: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rPr>
        <w:t xml:space="preserve"> </w:t>
      </w:r>
      <w:r>
        <w:rPr>
          <w:color w:val="auto"/>
          <w:highlight w:val="none"/>
        </w:rPr>
        <w:t>治理雨涝成灾的排涝工程设计标准，一般有三种表示方法</w:t>
      </w:r>
      <w:r>
        <w:rPr>
          <w:rFonts w:hint="eastAsia"/>
          <w:color w:val="auto"/>
          <w:highlight w:val="none"/>
        </w:rPr>
        <w:t>：</w:t>
      </w:r>
      <w:r>
        <w:rPr>
          <w:color w:val="auto"/>
          <w:highlight w:val="none"/>
        </w:rPr>
        <w:t>（1）暴雨重现期；（2）排涝保证率；（3）典型年</w:t>
      </w:r>
      <w:r>
        <w:rPr>
          <w:rFonts w:hint="eastAsia"/>
          <w:color w:val="auto"/>
          <w:highlight w:val="none"/>
          <w:lang w:eastAsia="zh-CN"/>
        </w:rPr>
        <w:t>。</w:t>
      </w:r>
      <w:r>
        <w:rPr>
          <w:color w:val="auto"/>
          <w:highlight w:val="none"/>
        </w:rPr>
        <w:t>按国家水利行业《农田排水工程技术规范》（</w:t>
      </w:r>
      <w:r>
        <w:rPr>
          <w:rFonts w:hint="eastAsia"/>
          <w:color w:val="auto"/>
          <w:highlight w:val="none"/>
        </w:rPr>
        <w:t>SL/T 4-202</w:t>
      </w:r>
      <w:r>
        <w:rPr>
          <w:rFonts w:hint="eastAsia"/>
          <w:color w:val="auto"/>
          <w:highlight w:val="none"/>
          <w:lang w:val="en-US" w:eastAsia="zh-CN"/>
        </w:rPr>
        <w:t>0</w:t>
      </w:r>
      <w:r>
        <w:rPr>
          <w:color w:val="auto"/>
          <w:highlight w:val="none"/>
        </w:rPr>
        <w:t>）推荐的项目区发生一定重现的暴雨时农田不受涝为准。</w:t>
      </w:r>
    </w:p>
    <w:p w14:paraId="77987D55">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排涝模数与设计暴雨的历时、频率和雨强，排涝面积的大小和形状，地形坡度和土壤性质，地面覆盖物和作物组成，以及项目区内的滞蓄能力、地下水埋深、排水系统状况等诸多因素有关。因此，设计排涝模数应根据本地或邻近地区实测资料确定。无实测资料或实测资料积累较少时，通常</w:t>
      </w:r>
      <w:r>
        <w:rPr>
          <w:rFonts w:hint="eastAsia"/>
          <w:color w:val="auto"/>
          <w:highlight w:val="none"/>
          <w:lang w:val="en-US" w:eastAsia="zh-CN"/>
        </w:rPr>
        <w:t>按照本规程</w:t>
      </w:r>
      <w:r>
        <w:rPr>
          <w:rFonts w:hint="eastAsia"/>
          <w:color w:val="auto"/>
          <w:highlight w:val="none"/>
          <w:lang w:eastAsia="zh-CN"/>
        </w:rPr>
        <w:t>（</w:t>
      </w:r>
      <w:r>
        <w:rPr>
          <w:rFonts w:hint="eastAsia"/>
          <w:color w:val="auto"/>
          <w:highlight w:val="none"/>
          <w:lang w:val="en-US" w:eastAsia="zh-CN"/>
        </w:rPr>
        <w:t>6.1.1</w:t>
      </w:r>
      <w:r>
        <w:rPr>
          <w:rFonts w:hint="eastAsia"/>
          <w:color w:val="auto"/>
          <w:highlight w:val="none"/>
          <w:lang w:eastAsia="zh-CN"/>
        </w:rPr>
        <w:t>）</w:t>
      </w:r>
      <w:r>
        <w:rPr>
          <w:color w:val="auto"/>
          <w:highlight w:val="none"/>
        </w:rPr>
        <w:t>经验公式计算确定。</w:t>
      </w:r>
    </w:p>
    <w:p w14:paraId="23A2CD3C">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采用经验公式计算排涝模数的关键是合理确定有关参数。由于水文系列的延长、河道治理、地下水位变化和排水系统完善程度等因素的影响，有关参数也在不断发生变化，直接影响排涝模数的计算取值，如在大量开发利用地下水而引起地下水位显著下降的地区，径流系数R值可能减小，若应用早期成果应注意适当修正。</w:t>
      </w:r>
    </w:p>
    <w:p w14:paraId="4EB9A485">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6.</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w:t>
      </w:r>
      <w:r>
        <w:rPr>
          <w:rFonts w:hint="eastAsia" w:ascii="宋体" w:hAnsi="宋体" w:eastAsia="宋体" w:cs="宋体"/>
          <w:color w:val="auto"/>
          <w:highlight w:val="none"/>
          <w:lang w:val="en-US" w:eastAsia="zh-CN"/>
        </w:rPr>
        <w:t>3</w:t>
      </w:r>
      <w:r>
        <w:rPr>
          <w:rFonts w:hint="eastAsia"/>
          <w:color w:val="auto"/>
          <w:highlight w:val="none"/>
        </w:rPr>
        <w:t xml:space="preserve"> </w:t>
      </w:r>
      <w:r>
        <w:rPr>
          <w:color w:val="auto"/>
          <w:highlight w:val="none"/>
        </w:rPr>
        <w:t>防止农作物产生渍害的最小地下水埋深称耐渍深度。在作物生长期间，允许地下水位有短期升至耐渍深度以上，其持续时间以不危害作物正常生长为限度，该持续时间称耐渍时间。由于各种作物在不同生育期的耐渍能力不同，治渍标准应是一个动态指标。在治渍设计中，通常以主要作物生长期内的最大耐渍深度为设计排渍深度指标（见表6.</w:t>
      </w:r>
      <w:r>
        <w:rPr>
          <w:rFonts w:hint="eastAsia"/>
          <w:color w:val="auto"/>
          <w:highlight w:val="none"/>
          <w:lang w:val="en-US" w:eastAsia="zh-CN"/>
        </w:rPr>
        <w:t>1</w:t>
      </w:r>
      <w:r>
        <w:rPr>
          <w:color w:val="auto"/>
          <w:highlight w:val="none"/>
        </w:rPr>
        <w:t>.</w:t>
      </w:r>
      <w:r>
        <w:rPr>
          <w:rFonts w:hint="eastAsia"/>
          <w:color w:val="auto"/>
          <w:highlight w:val="none"/>
          <w:lang w:val="en-US" w:eastAsia="zh-CN"/>
        </w:rPr>
        <w:t>3-1</w:t>
      </w:r>
      <w:r>
        <w:rPr>
          <w:color w:val="auto"/>
          <w:highlight w:val="none"/>
        </w:rPr>
        <w:t>），并应满足渍害敏感期或作物生长关键期的最小耐渍深度的控制要求。</w:t>
      </w:r>
    </w:p>
    <w:p w14:paraId="5417D33A">
      <w:pPr>
        <w:pStyle w:val="139"/>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jc w:val="center"/>
        <w:textAlignment w:val="auto"/>
        <w:rPr>
          <w:rFonts w:hint="eastAsia"/>
          <w:color w:val="auto"/>
          <w:highlight w:val="none"/>
        </w:rPr>
      </w:pPr>
      <w:bookmarkStart w:id="498" w:name="_Toc26867_WPSOffice_Level1"/>
      <w:bookmarkStart w:id="499" w:name="_Toc19571_WPSOffice_Level1"/>
      <w:r>
        <w:rPr>
          <w:rFonts w:hint="eastAsia"/>
          <w:color w:val="auto"/>
          <w:sz w:val="18"/>
          <w:szCs w:val="18"/>
          <w:highlight w:val="none"/>
          <w:lang w:val="en-US" w:eastAsia="zh-CN"/>
        </w:rPr>
        <w:t>表</w:t>
      </w:r>
      <w:r>
        <w:rPr>
          <w:rFonts w:hint="eastAsia"/>
          <w:color w:val="auto"/>
          <w:sz w:val="18"/>
          <w:szCs w:val="18"/>
          <w:highlight w:val="none"/>
        </w:rPr>
        <w:t>6.</w:t>
      </w:r>
      <w:r>
        <w:rPr>
          <w:rFonts w:hint="eastAsia"/>
          <w:color w:val="auto"/>
          <w:sz w:val="18"/>
          <w:szCs w:val="18"/>
          <w:highlight w:val="none"/>
          <w:lang w:val="en-US" w:eastAsia="zh-CN"/>
        </w:rPr>
        <w:t>1</w:t>
      </w:r>
      <w:r>
        <w:rPr>
          <w:rFonts w:hint="eastAsia"/>
          <w:color w:val="auto"/>
          <w:sz w:val="18"/>
          <w:szCs w:val="18"/>
          <w:highlight w:val="none"/>
        </w:rPr>
        <w:t>.</w:t>
      </w:r>
      <w:r>
        <w:rPr>
          <w:rFonts w:hint="eastAsia"/>
          <w:color w:val="auto"/>
          <w:sz w:val="18"/>
          <w:szCs w:val="18"/>
          <w:highlight w:val="none"/>
          <w:lang w:val="en-US" w:eastAsia="zh-CN"/>
        </w:rPr>
        <w:t>3-1</w:t>
      </w:r>
      <w:r>
        <w:rPr>
          <w:rFonts w:hint="eastAsia"/>
          <w:color w:val="auto"/>
          <w:sz w:val="18"/>
          <w:szCs w:val="18"/>
          <w:highlight w:val="none"/>
        </w:rPr>
        <w:t>引黄灌区主要作物不同生育期的耐渍深度</w:t>
      </w:r>
      <w:bookmarkEnd w:id="498"/>
      <w:bookmarkEnd w:id="499"/>
    </w:p>
    <w:tbl>
      <w:tblPr>
        <w:tblStyle w:val="34"/>
        <w:tblW w:w="43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2"/>
        <w:gridCol w:w="1612"/>
        <w:gridCol w:w="1747"/>
      </w:tblGrid>
      <w:tr w14:paraId="4363E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2" w:type="dxa"/>
            <w:vAlign w:val="center"/>
          </w:tcPr>
          <w:p w14:paraId="261E94E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作物</w:t>
            </w:r>
          </w:p>
        </w:tc>
        <w:tc>
          <w:tcPr>
            <w:tcW w:w="1612" w:type="dxa"/>
            <w:vAlign w:val="center"/>
          </w:tcPr>
          <w:p w14:paraId="6B7AE614">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生育期</w:t>
            </w:r>
          </w:p>
        </w:tc>
        <w:tc>
          <w:tcPr>
            <w:tcW w:w="1747" w:type="dxa"/>
            <w:vAlign w:val="center"/>
          </w:tcPr>
          <w:p w14:paraId="38C6328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耐渍深度（m）</w:t>
            </w:r>
          </w:p>
        </w:tc>
      </w:tr>
      <w:tr w14:paraId="2A13E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12" w:type="dxa"/>
            <w:vAlign w:val="center"/>
          </w:tcPr>
          <w:p w14:paraId="099D505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小麦</w:t>
            </w:r>
          </w:p>
        </w:tc>
        <w:tc>
          <w:tcPr>
            <w:tcW w:w="1612" w:type="dxa"/>
            <w:vAlign w:val="center"/>
          </w:tcPr>
          <w:p w14:paraId="2AF55C7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播种-出苗</w:t>
            </w:r>
          </w:p>
          <w:p w14:paraId="259E209F">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返青-分蘖</w:t>
            </w:r>
          </w:p>
          <w:p w14:paraId="2500C30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拔节-成熟</w:t>
            </w:r>
          </w:p>
        </w:tc>
        <w:tc>
          <w:tcPr>
            <w:tcW w:w="1747" w:type="dxa"/>
            <w:vAlign w:val="center"/>
          </w:tcPr>
          <w:p w14:paraId="7E228BD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0.5</w:t>
            </w:r>
          </w:p>
          <w:p w14:paraId="2F11ECC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0.5-0.8</w:t>
            </w:r>
          </w:p>
          <w:p w14:paraId="6D6327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1.0-1.2</w:t>
            </w:r>
          </w:p>
        </w:tc>
      </w:tr>
      <w:tr w14:paraId="738EF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1012" w:type="dxa"/>
            <w:vAlign w:val="center"/>
          </w:tcPr>
          <w:p w14:paraId="7AAF504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水稻</w:t>
            </w:r>
          </w:p>
        </w:tc>
        <w:tc>
          <w:tcPr>
            <w:tcW w:w="1612" w:type="dxa"/>
            <w:vAlign w:val="center"/>
          </w:tcPr>
          <w:p w14:paraId="659E1E7E">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晒田</w:t>
            </w:r>
          </w:p>
        </w:tc>
        <w:tc>
          <w:tcPr>
            <w:tcW w:w="1747" w:type="dxa"/>
            <w:vAlign w:val="center"/>
          </w:tcPr>
          <w:p w14:paraId="0D68244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0.4-0.6</w:t>
            </w:r>
          </w:p>
        </w:tc>
      </w:tr>
      <w:tr w14:paraId="5CB07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1012" w:type="dxa"/>
            <w:vAlign w:val="center"/>
          </w:tcPr>
          <w:p w14:paraId="1BD5963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玉米</w:t>
            </w:r>
          </w:p>
        </w:tc>
        <w:tc>
          <w:tcPr>
            <w:tcW w:w="1612" w:type="dxa"/>
            <w:vAlign w:val="center"/>
          </w:tcPr>
          <w:p w14:paraId="47BE5B1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幼苗</w:t>
            </w:r>
          </w:p>
          <w:p w14:paraId="45250DD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拔节-成熟</w:t>
            </w:r>
          </w:p>
        </w:tc>
        <w:tc>
          <w:tcPr>
            <w:tcW w:w="1747" w:type="dxa"/>
            <w:vAlign w:val="center"/>
          </w:tcPr>
          <w:p w14:paraId="7D9E04B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0.5-0.6</w:t>
            </w:r>
          </w:p>
          <w:p w14:paraId="0A008D3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color w:val="auto"/>
                <w:sz w:val="18"/>
                <w:szCs w:val="18"/>
                <w:highlight w:val="none"/>
              </w:rPr>
            </w:pPr>
            <w:r>
              <w:rPr>
                <w:color w:val="auto"/>
                <w:sz w:val="18"/>
                <w:szCs w:val="18"/>
                <w:highlight w:val="none"/>
              </w:rPr>
              <w:t>1.0-1.3</w:t>
            </w:r>
          </w:p>
        </w:tc>
      </w:tr>
    </w:tbl>
    <w:p w14:paraId="58F0BFD9">
      <w:pPr>
        <w:keepNext w:val="0"/>
        <w:keepLines w:val="0"/>
        <w:pageBreakBefore w:val="0"/>
        <w:widowControl w:val="0"/>
        <w:kinsoku/>
        <w:wordWrap/>
        <w:overflowPunct/>
        <w:topLinePunct w:val="0"/>
        <w:autoSpaceDE/>
        <w:autoSpaceDN/>
        <w:bidi w:val="0"/>
        <w:adjustRightInd w:val="0"/>
        <w:snapToGrid w:val="0"/>
        <w:spacing w:line="240" w:lineRule="auto"/>
        <w:ind w:firstLine="420" w:firstLineChars="200"/>
        <w:textAlignment w:val="auto"/>
        <w:rPr>
          <w:color w:val="auto"/>
          <w:highlight w:val="none"/>
        </w:rPr>
      </w:pPr>
      <w:r>
        <w:rPr>
          <w:color w:val="auto"/>
          <w:highlight w:val="none"/>
        </w:rPr>
        <w:t>调控地下水位的排水流量，从降雨或灌溉开始，有一个变化过程和流量峰值，因而排渍模数也是一个变化值。在排水设计中，一般均采用雨后或灌后地下水从高水位降至设计排渍深度的平均排渍模数。需要特别指出的是，在排渍过程中存在着一定的地下水蒸发量，将使排渍模数有所减小，但考虑到雨后或灌后的土壤水分含量较大，对地下水的蒸发有抑制作用，且要求排渍的时间一般较短，因而治渍排水模数计算公式（6.</w:t>
      </w:r>
      <w:r>
        <w:rPr>
          <w:rFonts w:hint="eastAsia"/>
          <w:color w:val="auto"/>
          <w:highlight w:val="none"/>
          <w:lang w:val="en-US" w:eastAsia="zh-CN"/>
        </w:rPr>
        <w:t>1</w:t>
      </w:r>
      <w:r>
        <w:rPr>
          <w:color w:val="auto"/>
          <w:highlight w:val="none"/>
        </w:rPr>
        <w:t>-</w:t>
      </w:r>
      <w:r>
        <w:rPr>
          <w:rFonts w:hint="eastAsia"/>
          <w:color w:val="auto"/>
          <w:highlight w:val="none"/>
          <w:lang w:val="en-US" w:eastAsia="zh-CN"/>
        </w:rPr>
        <w:t>4</w:t>
      </w:r>
      <w:r>
        <w:rPr>
          <w:color w:val="auto"/>
          <w:highlight w:val="none"/>
        </w:rPr>
        <w:t>）中不考虑蒸发影响，偏于安全。</w:t>
      </w:r>
    </w:p>
    <w:p w14:paraId="30DA01EA">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6.</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w:t>
      </w:r>
      <w:r>
        <w:rPr>
          <w:rFonts w:hint="eastAsia" w:ascii="宋体" w:hAnsi="宋体" w:eastAsia="宋体" w:cs="宋体"/>
          <w:color w:val="auto"/>
          <w:highlight w:val="none"/>
          <w:lang w:val="en-US" w:eastAsia="zh-CN"/>
        </w:rPr>
        <w:t>4</w:t>
      </w:r>
      <w:r>
        <w:rPr>
          <w:rFonts w:hint="eastAsia" w:ascii="宋体" w:hAnsi="宋体" w:eastAsia="宋体" w:cs="宋体"/>
          <w:color w:val="auto"/>
          <w:highlight w:val="none"/>
        </w:rPr>
        <w:t xml:space="preserve"> </w:t>
      </w:r>
      <w:r>
        <w:rPr>
          <w:rFonts w:hint="eastAsia"/>
          <w:color w:val="auto"/>
          <w:highlight w:val="none"/>
        </w:rPr>
        <w:t xml:space="preserve"> </w:t>
      </w:r>
      <w:r>
        <w:rPr>
          <w:color w:val="auto"/>
          <w:highlight w:val="none"/>
        </w:rPr>
        <w:t>防治土壤盐碱化的最小地下水埋深称临界深度。在土壤、地下水矿化度和耕作措施等因素一定的条件下，地表的积盐速度和积盐总量取决于地下水的蒸发量。本规</w:t>
      </w:r>
      <w:r>
        <w:rPr>
          <w:rFonts w:hint="eastAsia"/>
          <w:color w:val="auto"/>
          <w:highlight w:val="none"/>
          <w:lang w:val="en-US" w:eastAsia="zh-CN"/>
        </w:rPr>
        <w:t>程</w:t>
      </w:r>
      <w:r>
        <w:rPr>
          <w:color w:val="auto"/>
          <w:highlight w:val="none"/>
        </w:rPr>
        <w:t>在参考文献资料中地下水临界深度的基础上，根据宁夏干旱、半干旱地区的特点，做了一些微调，一般取数值区间较大值。</w:t>
      </w:r>
    </w:p>
    <w:p w14:paraId="0A69EFFE">
      <w:pPr>
        <w:pStyle w:val="25"/>
        <w:keepNext w:val="0"/>
        <w:keepLines w:val="0"/>
        <w:pageBreakBefore w:val="0"/>
        <w:kinsoku/>
        <w:wordWrap/>
        <w:overflowPunct/>
        <w:topLinePunct w:val="0"/>
        <w:bidi w:val="0"/>
        <w:spacing w:line="240" w:lineRule="auto"/>
        <w:ind w:firstLine="420" w:firstLineChars="200"/>
        <w:textAlignment w:val="auto"/>
        <w:rPr>
          <w:rFonts w:ascii="Times New Roman"/>
          <w:color w:val="auto"/>
          <w:szCs w:val="22"/>
          <w:highlight w:val="none"/>
        </w:rPr>
      </w:pPr>
      <w:r>
        <w:rPr>
          <w:rFonts w:ascii="Times New Roman"/>
          <w:color w:val="auto"/>
          <w:highlight w:val="none"/>
        </w:rPr>
        <w:t>（1）降雨或灌溉会引起地下水位升高的同时，能使土壤盐分得到淋洗；蒸发使地下水</w:t>
      </w:r>
      <w:r>
        <w:rPr>
          <w:rFonts w:ascii="Times New Roman"/>
          <w:color w:val="auto"/>
          <w:szCs w:val="22"/>
          <w:highlight w:val="none"/>
        </w:rPr>
        <w:t>位降低，却会造成土壤返盐。所以盐碱化地区的土壤，一般在汛期处于淋洗脱盐状态，在春、秋干旱季节则处于蒸发积盐状态。因此，为防治土壤返盐危害作物生长，一般按地下水临界埋深作为盐碱地区排水工程的设计标准。</w:t>
      </w:r>
    </w:p>
    <w:p w14:paraId="538E4010">
      <w:pPr>
        <w:pStyle w:val="25"/>
        <w:keepNext w:val="0"/>
        <w:keepLines w:val="0"/>
        <w:pageBreakBefore w:val="0"/>
        <w:kinsoku/>
        <w:wordWrap/>
        <w:overflowPunct/>
        <w:topLinePunct w:val="0"/>
        <w:bidi w:val="0"/>
        <w:spacing w:line="240" w:lineRule="auto"/>
        <w:ind w:firstLine="420" w:firstLineChars="200"/>
        <w:textAlignment w:val="auto"/>
        <w:rPr>
          <w:rFonts w:ascii="Times New Roman"/>
          <w:color w:val="auto"/>
          <w:szCs w:val="22"/>
          <w:highlight w:val="none"/>
        </w:rPr>
      </w:pPr>
      <w:r>
        <w:rPr>
          <w:rFonts w:ascii="Times New Roman"/>
          <w:color w:val="auto"/>
          <w:szCs w:val="22"/>
          <w:highlight w:val="none"/>
        </w:rPr>
        <w:t>（2）在地下水位由高水位降至临界深度的过程中，因地下水的蒸发积盐，可能使根层土壤含盐量超过作物的耐盐能力，为避免影响作物正常生长，应确定适宜的排水时间。具体确定方法可参考农田排水</w:t>
      </w:r>
      <w:r>
        <w:rPr>
          <w:rFonts w:hint="eastAsia" w:ascii="Times New Roman"/>
          <w:color w:val="auto"/>
          <w:szCs w:val="22"/>
          <w:highlight w:val="none"/>
          <w:lang w:val="en-US" w:eastAsia="zh-CN"/>
        </w:rPr>
        <w:t>工程</w:t>
      </w:r>
      <w:r>
        <w:rPr>
          <w:rFonts w:ascii="Times New Roman"/>
          <w:color w:val="auto"/>
          <w:szCs w:val="22"/>
          <w:highlight w:val="none"/>
        </w:rPr>
        <w:t>技术规范</w:t>
      </w:r>
      <w:r>
        <w:rPr>
          <w:rFonts w:hint="eastAsia" w:ascii="Times New Roman"/>
          <w:color w:val="auto"/>
          <w:szCs w:val="22"/>
          <w:highlight w:val="none"/>
          <w:lang w:eastAsia="zh-CN"/>
        </w:rPr>
        <w:t>（</w:t>
      </w:r>
      <w:r>
        <w:rPr>
          <w:rFonts w:hint="eastAsia" w:ascii="Times New Roman"/>
          <w:color w:val="auto"/>
          <w:szCs w:val="22"/>
          <w:highlight w:val="none"/>
          <w:lang w:val="en-US" w:eastAsia="zh-CN"/>
        </w:rPr>
        <w:t>SL/T4</w:t>
      </w:r>
      <w:r>
        <w:rPr>
          <w:rFonts w:hint="eastAsia" w:ascii="Times New Roman"/>
          <w:color w:val="auto"/>
          <w:szCs w:val="22"/>
          <w:highlight w:val="none"/>
          <w:lang w:eastAsia="zh-CN"/>
        </w:rPr>
        <w:t>）</w:t>
      </w:r>
      <w:r>
        <w:rPr>
          <w:rFonts w:ascii="Times New Roman"/>
          <w:color w:val="auto"/>
          <w:szCs w:val="22"/>
          <w:highlight w:val="none"/>
        </w:rPr>
        <w:t>和农田排水试验规范</w:t>
      </w:r>
      <w:r>
        <w:rPr>
          <w:rFonts w:hint="eastAsia" w:ascii="Times New Roman"/>
          <w:color w:val="auto"/>
          <w:szCs w:val="22"/>
          <w:highlight w:val="none"/>
          <w:lang w:eastAsia="zh-CN"/>
        </w:rPr>
        <w:t>（</w:t>
      </w:r>
      <w:r>
        <w:rPr>
          <w:rFonts w:hint="eastAsia" w:ascii="Times New Roman"/>
          <w:color w:val="auto"/>
          <w:szCs w:val="22"/>
          <w:highlight w:val="none"/>
          <w:lang w:val="en-US" w:eastAsia="zh-CN"/>
        </w:rPr>
        <w:t>SL 109</w:t>
      </w:r>
      <w:r>
        <w:rPr>
          <w:rFonts w:hint="eastAsia" w:ascii="Times New Roman"/>
          <w:color w:val="auto"/>
          <w:szCs w:val="22"/>
          <w:highlight w:val="none"/>
          <w:lang w:eastAsia="zh-CN"/>
        </w:rPr>
        <w:t>）</w:t>
      </w:r>
      <w:r>
        <w:rPr>
          <w:rFonts w:ascii="Times New Roman"/>
          <w:color w:val="auto"/>
          <w:szCs w:val="22"/>
          <w:highlight w:val="none"/>
        </w:rPr>
        <w:t>的要求进行。</w:t>
      </w:r>
    </w:p>
    <w:p w14:paraId="5F5BCD24">
      <w:pPr>
        <w:pStyle w:val="25"/>
        <w:keepNext w:val="0"/>
        <w:keepLines w:val="0"/>
        <w:pageBreakBefore w:val="0"/>
        <w:kinsoku/>
        <w:wordWrap/>
        <w:overflowPunct/>
        <w:topLinePunct w:val="0"/>
        <w:bidi w:val="0"/>
        <w:spacing w:line="240" w:lineRule="auto"/>
        <w:ind w:firstLine="420" w:firstLineChars="200"/>
        <w:textAlignment w:val="auto"/>
        <w:rPr>
          <w:rFonts w:ascii="Times New Roman"/>
          <w:color w:val="auto"/>
          <w:szCs w:val="22"/>
          <w:highlight w:val="none"/>
        </w:rPr>
      </w:pPr>
      <w:r>
        <w:rPr>
          <w:rFonts w:ascii="Times New Roman"/>
          <w:color w:val="auto"/>
          <w:szCs w:val="22"/>
          <w:highlight w:val="none"/>
        </w:rPr>
        <w:t>（3）防治土壤盐碱化排水的控制时期多为蒸发较强烈季节，冲洗排水时其盐分溶解也快，因而在计算排水模数时应考虑地下水的蒸发作用，建议采用非稳定渗流条件下的平均排水强度的近似计算公式（6.</w:t>
      </w:r>
      <w:r>
        <w:rPr>
          <w:rFonts w:hint="eastAsia" w:ascii="Times New Roman"/>
          <w:color w:val="auto"/>
          <w:szCs w:val="22"/>
          <w:highlight w:val="none"/>
          <w:lang w:val="en-US" w:eastAsia="zh-CN"/>
        </w:rPr>
        <w:t>1</w:t>
      </w:r>
      <w:r>
        <w:rPr>
          <w:rFonts w:hint="eastAsia" w:ascii="Times New Roman"/>
          <w:color w:val="auto"/>
          <w:szCs w:val="22"/>
          <w:highlight w:val="none"/>
        </w:rPr>
        <w:t>-</w:t>
      </w:r>
      <w:r>
        <w:rPr>
          <w:rFonts w:hint="eastAsia" w:ascii="Times New Roman"/>
          <w:color w:val="auto"/>
          <w:szCs w:val="22"/>
          <w:highlight w:val="none"/>
          <w:lang w:val="en-US" w:eastAsia="zh-CN"/>
        </w:rPr>
        <w:t>5</w:t>
      </w:r>
      <w:r>
        <w:rPr>
          <w:rFonts w:ascii="Times New Roman"/>
          <w:color w:val="auto"/>
          <w:szCs w:val="22"/>
          <w:highlight w:val="none"/>
        </w:rPr>
        <w:t>）确定防治土壤盐碱化排水模数。</w:t>
      </w:r>
    </w:p>
    <w:p w14:paraId="543B75B8">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6.</w:t>
      </w: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rPr>
        <w:t>.1</w:t>
      </w:r>
      <w:r>
        <w:rPr>
          <w:rFonts w:hint="eastAsia"/>
          <w:color w:val="auto"/>
          <w:highlight w:val="none"/>
        </w:rPr>
        <w:t xml:space="preserve">  </w:t>
      </w:r>
      <w:r>
        <w:rPr>
          <w:color w:val="auto"/>
          <w:highlight w:val="none"/>
        </w:rPr>
        <w:t>在对暗管排水工程规划区的基本资料进行调查的基础上，针对项目区存在的排涝、治渍或防治土壤盐碱化等的突出问题，根据防治灾害的要求，选定暗管排水工程的排水设计标准。农田排水标准的确定，直接关系排水工程量、减灾程度和经济效益，主要与作物、土壤、水文地质和气象等因素有关，也受农业生产水平的经济条件的制约。因此，当经济条件允许、种植附加值高的经济作物或有特定要求时，可适当提高标准。例如排涝标准按10年一遇暴雨设计，而排渍深度或地下水临界深度可以选用较大值。</w:t>
      </w:r>
    </w:p>
    <w:p w14:paraId="7CF438A6">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6.</w:t>
      </w:r>
      <w:r>
        <w:rPr>
          <w:rFonts w:hint="eastAsia" w:ascii="宋体" w:hAnsi="宋体" w:eastAsia="宋体" w:cs="宋体"/>
          <w:color w:val="auto"/>
          <w:highlight w:val="none"/>
          <w:lang w:val="en-US" w:eastAsia="zh-CN"/>
        </w:rPr>
        <w:t>2</w:t>
      </w:r>
      <w:r>
        <w:rPr>
          <w:rFonts w:hint="eastAsia" w:ascii="宋体" w:hAnsi="宋体" w:eastAsia="宋体" w:cs="宋体"/>
          <w:color w:val="auto"/>
          <w:highlight w:val="none"/>
        </w:rPr>
        <w:t xml:space="preserve">.2 </w:t>
      </w:r>
      <w:r>
        <w:rPr>
          <w:rFonts w:hint="eastAsia"/>
          <w:color w:val="auto"/>
          <w:highlight w:val="none"/>
        </w:rPr>
        <w:t xml:space="preserve"> </w:t>
      </w:r>
      <w:r>
        <w:rPr>
          <w:color w:val="auto"/>
          <w:highlight w:val="none"/>
        </w:rPr>
        <w:t>暗管排水工程是灌区排水系统的组成部分，在进行暗管排水工程设计时，应兼顾灌区灌排工程总目标及其相应规划，与项目区农田排水系统的排水标准相协调。针对拟实施暗管排水工程项目区存在的问题，如确需提高项目区排水标准时，应根据暗管排水工程的特点，可适当提高地下水位调控标准。本着有利于改善农田排水治理环境、发挥工程整体效益和减少改建、扩建工程投资的原则进行暗管排水工程设计和修建。</w:t>
      </w:r>
    </w:p>
    <w:p w14:paraId="42F0B24D">
      <w:pPr>
        <w:pStyle w:val="25"/>
        <w:keepNext w:val="0"/>
        <w:keepLines w:val="0"/>
        <w:pageBreakBefore w:val="0"/>
        <w:kinsoku/>
        <w:wordWrap/>
        <w:overflowPunct/>
        <w:topLinePunct w:val="0"/>
        <w:bidi w:val="0"/>
        <w:spacing w:line="240" w:lineRule="auto"/>
        <w:ind w:firstLine="0" w:firstLineChars="0"/>
        <w:textAlignment w:val="auto"/>
        <w:rPr>
          <w:rFonts w:ascii="Times New Roman"/>
          <w:color w:val="auto"/>
          <w:szCs w:val="22"/>
          <w:highlight w:val="none"/>
        </w:rPr>
      </w:pPr>
      <w:r>
        <w:rPr>
          <w:rFonts w:hint="eastAsia" w:ascii="宋体" w:hAnsi="宋体" w:eastAsia="宋体" w:cs="宋体"/>
          <w:color w:val="auto"/>
          <w:szCs w:val="22"/>
          <w:highlight w:val="none"/>
        </w:rPr>
        <w:t xml:space="preserve">6.3.1 </w:t>
      </w:r>
      <w:r>
        <w:rPr>
          <w:rFonts w:ascii="Times New Roman"/>
          <w:color w:val="auto"/>
          <w:szCs w:val="22"/>
          <w:highlight w:val="none"/>
        </w:rPr>
        <w:t>宁夏引黄灌区田间暗管排水工程建设在国内起步较早，上世纪90年代获得外资</w:t>
      </w:r>
      <w:r>
        <w:rPr>
          <w:rFonts w:hint="eastAsia" w:ascii="Times New Roman"/>
          <w:color w:val="auto"/>
          <w:szCs w:val="22"/>
          <w:highlight w:val="none"/>
        </w:rPr>
        <w:t>贷款项目</w:t>
      </w:r>
      <w:r>
        <w:rPr>
          <w:rFonts w:ascii="Times New Roman"/>
          <w:color w:val="auto"/>
          <w:szCs w:val="22"/>
          <w:highlight w:val="none"/>
        </w:rPr>
        <w:t>，引进荷兰暗管排水先进技术，在宁夏银北灌区示范推广暗管排水工程。由于相关试验、理论研究和暗管改良土壤的效果监测资料较少，可以采用规范介绍的3种方法计算确定。这里仅选用有关文献的研究成果作为不同土质类型，暗管埋深和间距的参考值（见表</w:t>
      </w:r>
      <w:r>
        <w:rPr>
          <w:rFonts w:hint="eastAsia" w:ascii="Times New Roman"/>
          <w:color w:val="auto"/>
          <w:szCs w:val="22"/>
          <w:highlight w:val="none"/>
          <w:lang w:val="en-US" w:eastAsia="zh-CN"/>
        </w:rPr>
        <w:t>6.3.1-1</w:t>
      </w:r>
      <w:r>
        <w:rPr>
          <w:rFonts w:ascii="Times New Roman"/>
          <w:color w:val="auto"/>
          <w:szCs w:val="22"/>
          <w:highlight w:val="none"/>
        </w:rPr>
        <w:t>）。设计选用时，需要结合项目区实际情况，根据经验判断并修正。</w:t>
      </w:r>
    </w:p>
    <w:p w14:paraId="527EC121">
      <w:pPr>
        <w:pStyle w:val="139"/>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ind w:left="3260" w:firstLine="180" w:firstLineChars="100"/>
        <w:jc w:val="left"/>
        <w:textAlignment w:val="auto"/>
        <w:rPr>
          <w:rFonts w:hint="eastAsia" w:eastAsia="黑体"/>
          <w:color w:val="auto"/>
          <w:highlight w:val="none"/>
          <w:lang w:eastAsia="zh-CN"/>
        </w:rPr>
      </w:pPr>
      <w:r>
        <w:rPr>
          <w:rFonts w:ascii="Times New Roman"/>
          <w:color w:val="auto"/>
          <w:sz w:val="18"/>
          <w:szCs w:val="18"/>
          <w:highlight w:val="none"/>
        </w:rPr>
        <w:t>表</w:t>
      </w:r>
      <w:r>
        <w:rPr>
          <w:rFonts w:hint="eastAsia" w:ascii="Times New Roman"/>
          <w:color w:val="auto"/>
          <w:sz w:val="18"/>
          <w:szCs w:val="18"/>
          <w:highlight w:val="none"/>
          <w:lang w:val="en-US" w:eastAsia="zh-CN"/>
        </w:rPr>
        <w:t>6.3.1-1</w:t>
      </w:r>
      <w:r>
        <w:rPr>
          <w:color w:val="auto"/>
          <w:highlight w:val="none"/>
        </w:rPr>
        <w:t xml:space="preserve"> </w:t>
      </w:r>
      <w:bookmarkStart w:id="500" w:name="_Toc2679_WPSOffice_Level1"/>
      <w:bookmarkStart w:id="501" w:name="_Toc5252_WPSOffice_Level1"/>
      <w:r>
        <w:rPr>
          <w:color w:val="auto"/>
          <w:sz w:val="18"/>
          <w:szCs w:val="18"/>
          <w:highlight w:val="none"/>
        </w:rPr>
        <w:t>吸水管间距经验参考值表</w:t>
      </w:r>
      <w:bookmarkEnd w:id="500"/>
      <w:bookmarkEnd w:id="501"/>
      <w:r>
        <w:rPr>
          <w:rFonts w:hint="eastAsia" w:ascii="黑体" w:hAnsi="黑体" w:eastAsia="黑体" w:cs="黑体"/>
          <w:color w:val="auto"/>
          <w:sz w:val="18"/>
          <w:szCs w:val="18"/>
          <w:highlight w:val="none"/>
          <w:lang w:eastAsia="zh-CN"/>
        </w:rPr>
        <w:t>（</w:t>
      </w:r>
      <w:r>
        <w:rPr>
          <w:rFonts w:hint="eastAsia" w:ascii="黑体" w:hAnsi="黑体" w:eastAsia="黑体" w:cs="黑体"/>
          <w:color w:val="auto"/>
          <w:sz w:val="18"/>
          <w:szCs w:val="18"/>
          <w:highlight w:val="none"/>
          <w:lang w:val="en-US" w:eastAsia="zh-CN"/>
        </w:rPr>
        <w:t>m</w:t>
      </w:r>
      <w:r>
        <w:rPr>
          <w:rFonts w:hint="eastAsia" w:ascii="黑体" w:hAnsi="黑体" w:eastAsia="黑体" w:cs="黑体"/>
          <w:color w:val="auto"/>
          <w:sz w:val="18"/>
          <w:szCs w:val="18"/>
          <w:highlight w:val="none"/>
          <w:lang w:eastAsia="zh-CN"/>
        </w:rPr>
        <w:t>）</w:t>
      </w:r>
    </w:p>
    <w:tbl>
      <w:tblPr>
        <w:tblStyle w:val="34"/>
        <w:tblW w:w="64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6"/>
        <w:gridCol w:w="1352"/>
        <w:gridCol w:w="1666"/>
        <w:gridCol w:w="1916"/>
      </w:tblGrid>
      <w:tr w14:paraId="3B32F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 w:hRule="atLeast"/>
          <w:jc w:val="center"/>
        </w:trPr>
        <w:tc>
          <w:tcPr>
            <w:tcW w:w="1496" w:type="dxa"/>
            <w:vAlign w:val="top"/>
          </w:tcPr>
          <w:p w14:paraId="2332A3D7">
            <w:pPr>
              <w:spacing w:line="240" w:lineRule="auto"/>
              <w:jc w:val="center"/>
              <w:rPr>
                <w:color w:val="auto"/>
                <w:sz w:val="18"/>
                <w:szCs w:val="18"/>
                <w:highlight w:val="none"/>
              </w:rPr>
            </w:pPr>
            <w:r>
              <w:rPr>
                <w:color w:val="auto"/>
                <w:sz w:val="18"/>
                <w:szCs w:val="18"/>
                <w:highlight w:val="none"/>
              </w:rPr>
              <w:t>暗管埋深</w:t>
            </w:r>
          </w:p>
        </w:tc>
        <w:tc>
          <w:tcPr>
            <w:tcW w:w="1352" w:type="dxa"/>
            <w:vAlign w:val="top"/>
          </w:tcPr>
          <w:p w14:paraId="1CBFB750">
            <w:pPr>
              <w:spacing w:line="240" w:lineRule="auto"/>
              <w:jc w:val="center"/>
              <w:rPr>
                <w:color w:val="auto"/>
                <w:sz w:val="18"/>
                <w:szCs w:val="18"/>
                <w:highlight w:val="none"/>
              </w:rPr>
            </w:pPr>
            <w:r>
              <w:rPr>
                <w:color w:val="auto"/>
                <w:sz w:val="18"/>
                <w:szCs w:val="18"/>
                <w:highlight w:val="none"/>
              </w:rPr>
              <w:t>黏土、重壤土</w:t>
            </w:r>
          </w:p>
        </w:tc>
        <w:tc>
          <w:tcPr>
            <w:tcW w:w="1666" w:type="dxa"/>
            <w:vAlign w:val="top"/>
          </w:tcPr>
          <w:p w14:paraId="34547E04">
            <w:pPr>
              <w:spacing w:line="240" w:lineRule="auto"/>
              <w:jc w:val="center"/>
              <w:rPr>
                <w:color w:val="auto"/>
                <w:sz w:val="18"/>
                <w:szCs w:val="18"/>
                <w:highlight w:val="none"/>
              </w:rPr>
            </w:pPr>
            <w:r>
              <w:rPr>
                <w:color w:val="auto"/>
                <w:sz w:val="18"/>
                <w:szCs w:val="18"/>
                <w:highlight w:val="none"/>
              </w:rPr>
              <w:t>中壤土</w:t>
            </w:r>
          </w:p>
        </w:tc>
        <w:tc>
          <w:tcPr>
            <w:tcW w:w="1916" w:type="dxa"/>
            <w:vAlign w:val="top"/>
          </w:tcPr>
          <w:p w14:paraId="3FACA16F">
            <w:pPr>
              <w:spacing w:line="240" w:lineRule="auto"/>
              <w:jc w:val="center"/>
              <w:rPr>
                <w:color w:val="auto"/>
                <w:sz w:val="18"/>
                <w:szCs w:val="18"/>
                <w:highlight w:val="none"/>
              </w:rPr>
            </w:pPr>
            <w:r>
              <w:rPr>
                <w:color w:val="auto"/>
                <w:sz w:val="18"/>
                <w:szCs w:val="18"/>
                <w:highlight w:val="none"/>
              </w:rPr>
              <w:t>轻壤土、砂壤土</w:t>
            </w:r>
          </w:p>
        </w:tc>
      </w:tr>
      <w:tr w14:paraId="10DBF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1496" w:type="dxa"/>
            <w:vAlign w:val="top"/>
          </w:tcPr>
          <w:p w14:paraId="54340B35">
            <w:pPr>
              <w:spacing w:line="240" w:lineRule="auto"/>
              <w:jc w:val="center"/>
              <w:rPr>
                <w:color w:val="auto"/>
                <w:sz w:val="18"/>
                <w:szCs w:val="18"/>
                <w:highlight w:val="none"/>
              </w:rPr>
            </w:pPr>
            <w:r>
              <w:rPr>
                <w:color w:val="auto"/>
                <w:sz w:val="18"/>
                <w:szCs w:val="18"/>
                <w:highlight w:val="none"/>
              </w:rPr>
              <w:t>0.6</w:t>
            </w:r>
            <w:r>
              <w:rPr>
                <w:color w:val="auto"/>
                <w:kern w:val="0"/>
                <w:sz w:val="18"/>
                <w:szCs w:val="18"/>
                <w:highlight w:val="none"/>
              </w:rPr>
              <w:t>～</w:t>
            </w:r>
            <w:r>
              <w:rPr>
                <w:color w:val="auto"/>
                <w:sz w:val="18"/>
                <w:szCs w:val="18"/>
                <w:highlight w:val="none"/>
              </w:rPr>
              <w:t>1.0</w:t>
            </w:r>
          </w:p>
        </w:tc>
        <w:tc>
          <w:tcPr>
            <w:tcW w:w="1352" w:type="dxa"/>
            <w:vAlign w:val="top"/>
          </w:tcPr>
          <w:p w14:paraId="308ACDB2">
            <w:pPr>
              <w:spacing w:line="240" w:lineRule="auto"/>
              <w:jc w:val="center"/>
              <w:rPr>
                <w:color w:val="auto"/>
                <w:sz w:val="18"/>
                <w:szCs w:val="18"/>
                <w:highlight w:val="none"/>
              </w:rPr>
            </w:pPr>
            <w:r>
              <w:rPr>
                <w:color w:val="auto"/>
                <w:sz w:val="18"/>
                <w:szCs w:val="18"/>
                <w:highlight w:val="none"/>
              </w:rPr>
              <w:t>10</w:t>
            </w:r>
            <w:r>
              <w:rPr>
                <w:color w:val="auto"/>
                <w:kern w:val="0"/>
                <w:sz w:val="18"/>
                <w:szCs w:val="18"/>
                <w:highlight w:val="none"/>
              </w:rPr>
              <w:t>～</w:t>
            </w:r>
            <w:r>
              <w:rPr>
                <w:color w:val="auto"/>
                <w:sz w:val="18"/>
                <w:szCs w:val="18"/>
                <w:highlight w:val="none"/>
              </w:rPr>
              <w:t>20</w:t>
            </w:r>
          </w:p>
        </w:tc>
        <w:tc>
          <w:tcPr>
            <w:tcW w:w="1666" w:type="dxa"/>
            <w:vAlign w:val="top"/>
          </w:tcPr>
          <w:p w14:paraId="37C3C29F">
            <w:pPr>
              <w:spacing w:line="240" w:lineRule="auto"/>
              <w:jc w:val="center"/>
              <w:rPr>
                <w:color w:val="auto"/>
                <w:sz w:val="18"/>
                <w:szCs w:val="18"/>
                <w:highlight w:val="none"/>
              </w:rPr>
            </w:pPr>
            <w:r>
              <w:rPr>
                <w:color w:val="auto"/>
                <w:sz w:val="18"/>
                <w:szCs w:val="18"/>
                <w:highlight w:val="none"/>
              </w:rPr>
              <w:t>10</w:t>
            </w:r>
            <w:r>
              <w:rPr>
                <w:color w:val="auto"/>
                <w:kern w:val="0"/>
                <w:sz w:val="18"/>
                <w:szCs w:val="18"/>
                <w:highlight w:val="none"/>
              </w:rPr>
              <w:t>～</w:t>
            </w:r>
            <w:r>
              <w:rPr>
                <w:color w:val="auto"/>
                <w:sz w:val="18"/>
                <w:szCs w:val="18"/>
                <w:highlight w:val="none"/>
              </w:rPr>
              <w:t>20</w:t>
            </w:r>
          </w:p>
        </w:tc>
        <w:tc>
          <w:tcPr>
            <w:tcW w:w="1916" w:type="dxa"/>
            <w:vAlign w:val="top"/>
          </w:tcPr>
          <w:p w14:paraId="41999DCF">
            <w:pPr>
              <w:spacing w:line="240" w:lineRule="auto"/>
              <w:jc w:val="center"/>
              <w:rPr>
                <w:color w:val="auto"/>
                <w:sz w:val="18"/>
                <w:szCs w:val="18"/>
                <w:highlight w:val="none"/>
              </w:rPr>
            </w:pPr>
            <w:r>
              <w:rPr>
                <w:color w:val="auto"/>
                <w:sz w:val="18"/>
                <w:szCs w:val="18"/>
                <w:highlight w:val="none"/>
              </w:rPr>
              <w:t>20</w:t>
            </w:r>
            <w:r>
              <w:rPr>
                <w:color w:val="auto"/>
                <w:kern w:val="0"/>
                <w:sz w:val="18"/>
                <w:szCs w:val="18"/>
                <w:highlight w:val="none"/>
              </w:rPr>
              <w:t>～</w:t>
            </w:r>
            <w:r>
              <w:rPr>
                <w:color w:val="auto"/>
                <w:sz w:val="18"/>
                <w:szCs w:val="18"/>
                <w:highlight w:val="none"/>
              </w:rPr>
              <w:t>40</w:t>
            </w:r>
          </w:p>
        </w:tc>
      </w:tr>
      <w:tr w14:paraId="6BFC9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1496" w:type="dxa"/>
            <w:vAlign w:val="top"/>
          </w:tcPr>
          <w:p w14:paraId="1BC9ED81">
            <w:pPr>
              <w:spacing w:line="240" w:lineRule="auto"/>
              <w:jc w:val="center"/>
              <w:rPr>
                <w:color w:val="auto"/>
                <w:sz w:val="18"/>
                <w:szCs w:val="18"/>
                <w:highlight w:val="none"/>
              </w:rPr>
            </w:pPr>
            <w:r>
              <w:rPr>
                <w:color w:val="auto"/>
                <w:sz w:val="18"/>
                <w:szCs w:val="18"/>
                <w:highlight w:val="none"/>
              </w:rPr>
              <w:t>1.0</w:t>
            </w:r>
            <w:r>
              <w:rPr>
                <w:color w:val="auto"/>
                <w:kern w:val="0"/>
                <w:sz w:val="18"/>
                <w:szCs w:val="18"/>
                <w:highlight w:val="none"/>
              </w:rPr>
              <w:t>～</w:t>
            </w:r>
            <w:r>
              <w:rPr>
                <w:color w:val="auto"/>
                <w:sz w:val="18"/>
                <w:szCs w:val="18"/>
                <w:highlight w:val="none"/>
              </w:rPr>
              <w:t>1.5</w:t>
            </w:r>
          </w:p>
        </w:tc>
        <w:tc>
          <w:tcPr>
            <w:tcW w:w="1352" w:type="dxa"/>
            <w:vAlign w:val="top"/>
          </w:tcPr>
          <w:p w14:paraId="0FFE4EF2">
            <w:pPr>
              <w:spacing w:line="240" w:lineRule="auto"/>
              <w:jc w:val="center"/>
              <w:rPr>
                <w:color w:val="auto"/>
                <w:sz w:val="18"/>
                <w:szCs w:val="18"/>
                <w:highlight w:val="none"/>
              </w:rPr>
            </w:pPr>
            <w:r>
              <w:rPr>
                <w:color w:val="auto"/>
                <w:sz w:val="18"/>
                <w:szCs w:val="18"/>
                <w:highlight w:val="none"/>
              </w:rPr>
              <w:t>10</w:t>
            </w:r>
            <w:r>
              <w:rPr>
                <w:color w:val="auto"/>
                <w:kern w:val="0"/>
                <w:sz w:val="18"/>
                <w:szCs w:val="18"/>
                <w:highlight w:val="none"/>
              </w:rPr>
              <w:t>～</w:t>
            </w:r>
            <w:r>
              <w:rPr>
                <w:color w:val="auto"/>
                <w:sz w:val="18"/>
                <w:szCs w:val="18"/>
                <w:highlight w:val="none"/>
              </w:rPr>
              <w:t>20</w:t>
            </w:r>
          </w:p>
        </w:tc>
        <w:tc>
          <w:tcPr>
            <w:tcW w:w="1666" w:type="dxa"/>
            <w:vAlign w:val="top"/>
          </w:tcPr>
          <w:p w14:paraId="159BE3D1">
            <w:pPr>
              <w:spacing w:line="240" w:lineRule="auto"/>
              <w:jc w:val="center"/>
              <w:rPr>
                <w:color w:val="auto"/>
                <w:sz w:val="18"/>
                <w:szCs w:val="18"/>
                <w:highlight w:val="none"/>
              </w:rPr>
            </w:pPr>
            <w:r>
              <w:rPr>
                <w:color w:val="auto"/>
                <w:sz w:val="18"/>
                <w:szCs w:val="18"/>
                <w:highlight w:val="none"/>
              </w:rPr>
              <w:t>20</w:t>
            </w:r>
            <w:r>
              <w:rPr>
                <w:color w:val="auto"/>
                <w:kern w:val="0"/>
                <w:sz w:val="18"/>
                <w:szCs w:val="18"/>
                <w:highlight w:val="none"/>
              </w:rPr>
              <w:t>～</w:t>
            </w:r>
            <w:r>
              <w:rPr>
                <w:color w:val="auto"/>
                <w:sz w:val="18"/>
                <w:szCs w:val="18"/>
                <w:highlight w:val="none"/>
              </w:rPr>
              <w:t>40</w:t>
            </w:r>
          </w:p>
        </w:tc>
        <w:tc>
          <w:tcPr>
            <w:tcW w:w="1916" w:type="dxa"/>
            <w:vAlign w:val="top"/>
          </w:tcPr>
          <w:p w14:paraId="1704813B">
            <w:pPr>
              <w:spacing w:line="240" w:lineRule="auto"/>
              <w:jc w:val="center"/>
              <w:rPr>
                <w:color w:val="auto"/>
                <w:sz w:val="18"/>
                <w:szCs w:val="18"/>
                <w:highlight w:val="none"/>
              </w:rPr>
            </w:pPr>
            <w:r>
              <w:rPr>
                <w:color w:val="auto"/>
                <w:sz w:val="18"/>
                <w:szCs w:val="18"/>
                <w:highlight w:val="none"/>
              </w:rPr>
              <w:t>40</w:t>
            </w:r>
            <w:r>
              <w:rPr>
                <w:color w:val="auto"/>
                <w:kern w:val="0"/>
                <w:sz w:val="18"/>
                <w:szCs w:val="18"/>
                <w:highlight w:val="none"/>
              </w:rPr>
              <w:t>～</w:t>
            </w:r>
            <w:r>
              <w:rPr>
                <w:color w:val="auto"/>
                <w:sz w:val="18"/>
                <w:szCs w:val="18"/>
                <w:highlight w:val="none"/>
              </w:rPr>
              <w:t>70</w:t>
            </w:r>
          </w:p>
        </w:tc>
      </w:tr>
      <w:tr w14:paraId="41379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6" w:type="dxa"/>
            <w:vAlign w:val="top"/>
          </w:tcPr>
          <w:p w14:paraId="1CBE1332">
            <w:pPr>
              <w:spacing w:line="240" w:lineRule="auto"/>
              <w:jc w:val="center"/>
              <w:rPr>
                <w:color w:val="auto"/>
                <w:sz w:val="18"/>
                <w:szCs w:val="18"/>
                <w:highlight w:val="none"/>
              </w:rPr>
            </w:pPr>
            <w:r>
              <w:rPr>
                <w:color w:val="auto"/>
                <w:sz w:val="18"/>
                <w:szCs w:val="18"/>
                <w:highlight w:val="none"/>
              </w:rPr>
              <w:t>1.5</w:t>
            </w:r>
            <w:r>
              <w:rPr>
                <w:color w:val="auto"/>
                <w:kern w:val="0"/>
                <w:sz w:val="18"/>
                <w:szCs w:val="18"/>
                <w:highlight w:val="none"/>
              </w:rPr>
              <w:t>～</w:t>
            </w:r>
            <w:r>
              <w:rPr>
                <w:color w:val="auto"/>
                <w:sz w:val="18"/>
                <w:szCs w:val="18"/>
                <w:highlight w:val="none"/>
              </w:rPr>
              <w:t>2.0</w:t>
            </w:r>
          </w:p>
        </w:tc>
        <w:tc>
          <w:tcPr>
            <w:tcW w:w="1352" w:type="dxa"/>
            <w:vAlign w:val="top"/>
          </w:tcPr>
          <w:p w14:paraId="5B619008">
            <w:pPr>
              <w:spacing w:line="240" w:lineRule="auto"/>
              <w:jc w:val="center"/>
              <w:rPr>
                <w:color w:val="auto"/>
                <w:sz w:val="18"/>
                <w:szCs w:val="18"/>
                <w:highlight w:val="none"/>
              </w:rPr>
            </w:pPr>
            <w:r>
              <w:rPr>
                <w:color w:val="auto"/>
                <w:sz w:val="18"/>
                <w:szCs w:val="18"/>
                <w:highlight w:val="none"/>
              </w:rPr>
              <w:t>20</w:t>
            </w:r>
            <w:r>
              <w:rPr>
                <w:color w:val="auto"/>
                <w:kern w:val="0"/>
                <w:sz w:val="18"/>
                <w:szCs w:val="18"/>
                <w:highlight w:val="none"/>
              </w:rPr>
              <w:t>～</w:t>
            </w:r>
            <w:r>
              <w:rPr>
                <w:color w:val="auto"/>
                <w:sz w:val="18"/>
                <w:szCs w:val="18"/>
                <w:highlight w:val="none"/>
              </w:rPr>
              <w:t>40</w:t>
            </w:r>
          </w:p>
        </w:tc>
        <w:tc>
          <w:tcPr>
            <w:tcW w:w="1666" w:type="dxa"/>
            <w:vAlign w:val="top"/>
          </w:tcPr>
          <w:p w14:paraId="7A3AD18B">
            <w:pPr>
              <w:spacing w:line="240" w:lineRule="auto"/>
              <w:jc w:val="center"/>
              <w:rPr>
                <w:color w:val="auto"/>
                <w:sz w:val="18"/>
                <w:szCs w:val="18"/>
                <w:highlight w:val="none"/>
              </w:rPr>
            </w:pPr>
            <w:r>
              <w:rPr>
                <w:color w:val="auto"/>
                <w:sz w:val="18"/>
                <w:szCs w:val="18"/>
                <w:highlight w:val="none"/>
              </w:rPr>
              <w:t>40</w:t>
            </w:r>
            <w:r>
              <w:rPr>
                <w:color w:val="auto"/>
                <w:kern w:val="0"/>
                <w:sz w:val="18"/>
                <w:szCs w:val="18"/>
                <w:highlight w:val="none"/>
              </w:rPr>
              <w:t>～</w:t>
            </w:r>
            <w:r>
              <w:rPr>
                <w:color w:val="auto"/>
                <w:sz w:val="18"/>
                <w:szCs w:val="18"/>
                <w:highlight w:val="none"/>
              </w:rPr>
              <w:t>70</w:t>
            </w:r>
          </w:p>
        </w:tc>
        <w:tc>
          <w:tcPr>
            <w:tcW w:w="1916" w:type="dxa"/>
            <w:vAlign w:val="top"/>
          </w:tcPr>
          <w:p w14:paraId="0324AD12">
            <w:pPr>
              <w:spacing w:line="240" w:lineRule="auto"/>
              <w:jc w:val="center"/>
              <w:rPr>
                <w:color w:val="auto"/>
                <w:sz w:val="18"/>
                <w:szCs w:val="18"/>
                <w:highlight w:val="none"/>
              </w:rPr>
            </w:pPr>
            <w:r>
              <w:rPr>
                <w:color w:val="auto"/>
                <w:sz w:val="18"/>
                <w:szCs w:val="18"/>
                <w:highlight w:val="none"/>
              </w:rPr>
              <w:t>70</w:t>
            </w:r>
            <w:r>
              <w:rPr>
                <w:color w:val="auto"/>
                <w:kern w:val="0"/>
                <w:sz w:val="18"/>
                <w:szCs w:val="18"/>
                <w:highlight w:val="none"/>
              </w:rPr>
              <w:t>～</w:t>
            </w:r>
            <w:r>
              <w:rPr>
                <w:color w:val="auto"/>
                <w:sz w:val="18"/>
                <w:szCs w:val="18"/>
                <w:highlight w:val="none"/>
              </w:rPr>
              <w:t>110</w:t>
            </w:r>
          </w:p>
        </w:tc>
      </w:tr>
      <w:tr w14:paraId="51274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6" w:type="dxa"/>
            <w:vAlign w:val="top"/>
          </w:tcPr>
          <w:p w14:paraId="32E22280">
            <w:pPr>
              <w:spacing w:line="240" w:lineRule="auto"/>
              <w:jc w:val="center"/>
              <w:rPr>
                <w:color w:val="auto"/>
                <w:sz w:val="18"/>
                <w:szCs w:val="18"/>
                <w:highlight w:val="none"/>
              </w:rPr>
            </w:pPr>
            <w:r>
              <w:rPr>
                <w:color w:val="auto"/>
                <w:sz w:val="18"/>
                <w:szCs w:val="18"/>
                <w:highlight w:val="none"/>
              </w:rPr>
              <w:t>2.0</w:t>
            </w:r>
            <w:r>
              <w:rPr>
                <w:color w:val="auto"/>
                <w:kern w:val="0"/>
                <w:sz w:val="18"/>
                <w:szCs w:val="18"/>
                <w:highlight w:val="none"/>
              </w:rPr>
              <w:t>～</w:t>
            </w:r>
            <w:r>
              <w:rPr>
                <w:color w:val="auto"/>
                <w:sz w:val="18"/>
                <w:szCs w:val="18"/>
                <w:highlight w:val="none"/>
              </w:rPr>
              <w:t>2.5</w:t>
            </w:r>
          </w:p>
        </w:tc>
        <w:tc>
          <w:tcPr>
            <w:tcW w:w="1352" w:type="dxa"/>
            <w:vAlign w:val="top"/>
          </w:tcPr>
          <w:p w14:paraId="0CC490F1">
            <w:pPr>
              <w:spacing w:line="240" w:lineRule="auto"/>
              <w:jc w:val="center"/>
              <w:rPr>
                <w:color w:val="auto"/>
                <w:sz w:val="18"/>
                <w:szCs w:val="18"/>
                <w:highlight w:val="none"/>
              </w:rPr>
            </w:pPr>
            <w:r>
              <w:rPr>
                <w:color w:val="auto"/>
                <w:sz w:val="18"/>
                <w:szCs w:val="18"/>
                <w:highlight w:val="none"/>
              </w:rPr>
              <w:t>/</w:t>
            </w:r>
          </w:p>
        </w:tc>
        <w:tc>
          <w:tcPr>
            <w:tcW w:w="1666" w:type="dxa"/>
            <w:vAlign w:val="top"/>
          </w:tcPr>
          <w:p w14:paraId="49B2FF4F">
            <w:pPr>
              <w:spacing w:line="240" w:lineRule="auto"/>
              <w:jc w:val="center"/>
              <w:rPr>
                <w:color w:val="auto"/>
                <w:sz w:val="18"/>
                <w:szCs w:val="18"/>
                <w:highlight w:val="none"/>
              </w:rPr>
            </w:pPr>
            <w:r>
              <w:rPr>
                <w:color w:val="auto"/>
                <w:sz w:val="18"/>
                <w:szCs w:val="18"/>
                <w:highlight w:val="none"/>
              </w:rPr>
              <w:t>70</w:t>
            </w:r>
            <w:r>
              <w:rPr>
                <w:color w:val="auto"/>
                <w:kern w:val="0"/>
                <w:sz w:val="18"/>
                <w:szCs w:val="18"/>
                <w:highlight w:val="none"/>
              </w:rPr>
              <w:t>～</w:t>
            </w:r>
            <w:r>
              <w:rPr>
                <w:color w:val="auto"/>
                <w:sz w:val="18"/>
                <w:szCs w:val="18"/>
                <w:highlight w:val="none"/>
              </w:rPr>
              <w:t>110</w:t>
            </w:r>
          </w:p>
        </w:tc>
        <w:tc>
          <w:tcPr>
            <w:tcW w:w="1916" w:type="dxa"/>
            <w:vAlign w:val="top"/>
          </w:tcPr>
          <w:p w14:paraId="3E8C0399">
            <w:pPr>
              <w:spacing w:line="240" w:lineRule="auto"/>
              <w:jc w:val="center"/>
              <w:rPr>
                <w:color w:val="auto"/>
                <w:sz w:val="18"/>
                <w:szCs w:val="18"/>
                <w:highlight w:val="none"/>
              </w:rPr>
            </w:pPr>
            <w:r>
              <w:rPr>
                <w:color w:val="auto"/>
                <w:sz w:val="18"/>
                <w:szCs w:val="18"/>
                <w:highlight w:val="none"/>
              </w:rPr>
              <w:t>110</w:t>
            </w:r>
            <w:r>
              <w:rPr>
                <w:color w:val="auto"/>
                <w:kern w:val="0"/>
                <w:sz w:val="18"/>
                <w:szCs w:val="18"/>
                <w:highlight w:val="none"/>
              </w:rPr>
              <w:t>～</w:t>
            </w:r>
            <w:r>
              <w:rPr>
                <w:color w:val="auto"/>
                <w:sz w:val="18"/>
                <w:szCs w:val="18"/>
                <w:highlight w:val="none"/>
              </w:rPr>
              <w:t>160</w:t>
            </w:r>
          </w:p>
        </w:tc>
      </w:tr>
    </w:tbl>
    <w:p w14:paraId="15463844">
      <w:pPr>
        <w:pStyle w:val="25"/>
        <w:keepNext w:val="0"/>
        <w:keepLines w:val="0"/>
        <w:pageBreakBefore w:val="0"/>
        <w:widowControl/>
        <w:kinsoku/>
        <w:wordWrap/>
        <w:overflowPunct/>
        <w:topLinePunct w:val="0"/>
        <w:autoSpaceDE w:val="0"/>
        <w:autoSpaceDN w:val="0"/>
        <w:bidi w:val="0"/>
        <w:adjustRightInd/>
        <w:snapToGrid/>
        <w:spacing w:line="240" w:lineRule="auto"/>
        <w:ind w:firstLine="420" w:firstLineChars="200"/>
        <w:textAlignment w:val="auto"/>
        <w:rPr>
          <w:rFonts w:hint="eastAsia" w:ascii="Times New Roman"/>
          <w:color w:val="auto"/>
          <w:szCs w:val="22"/>
          <w:highlight w:val="none"/>
        </w:rPr>
      </w:pPr>
      <w:r>
        <w:rPr>
          <w:rFonts w:ascii="Times New Roman"/>
          <w:color w:val="auto"/>
          <w:szCs w:val="22"/>
          <w:highlight w:val="none"/>
        </w:rPr>
        <w:t>另外，在防治土壤盐碱化项目区，暗管埋深和间距的</w:t>
      </w:r>
      <w:r>
        <w:rPr>
          <w:rFonts w:hint="eastAsia" w:ascii="Times New Roman"/>
          <w:color w:val="auto"/>
          <w:szCs w:val="22"/>
          <w:highlight w:val="none"/>
        </w:rPr>
        <w:t>经验</w:t>
      </w:r>
      <w:r>
        <w:rPr>
          <w:rFonts w:ascii="Times New Roman"/>
          <w:color w:val="auto"/>
          <w:szCs w:val="22"/>
          <w:highlight w:val="none"/>
        </w:rPr>
        <w:t>参考值</w:t>
      </w:r>
      <w:r>
        <w:rPr>
          <w:rFonts w:hint="eastAsia" w:ascii="Times New Roman"/>
          <w:color w:val="auto"/>
          <w:szCs w:val="22"/>
          <w:highlight w:val="none"/>
        </w:rPr>
        <w:t>见附录G8-1表。也</w:t>
      </w:r>
      <w:r>
        <w:rPr>
          <w:rFonts w:ascii="Times New Roman"/>
          <w:color w:val="auto"/>
          <w:szCs w:val="22"/>
          <w:highlight w:val="none"/>
        </w:rPr>
        <w:t>有以土壤渗透系数和暗管埋深为函数的经验公式估算间距，见下式</w:t>
      </w:r>
      <w:r>
        <w:rPr>
          <w:rFonts w:hint="eastAsia" w:ascii="Times New Roman"/>
          <w:color w:val="auto"/>
          <w:szCs w:val="22"/>
          <w:highlight w:val="none"/>
        </w:rPr>
        <w:t>：</w:t>
      </w:r>
    </w:p>
    <w:p w14:paraId="7B4B271B">
      <w:pPr>
        <w:pStyle w:val="25"/>
        <w:spacing w:line="360" w:lineRule="exact"/>
        <w:ind w:firstLine="0" w:firstLineChars="0"/>
        <w:jc w:val="center"/>
        <w:rPr>
          <w:rFonts w:ascii="Times New Roman"/>
          <w:color w:val="auto"/>
          <w:szCs w:val="22"/>
          <w:highlight w:val="none"/>
        </w:rPr>
      </w:pPr>
      <w:r>
        <w:rPr>
          <w:rFonts w:ascii="Times New Roman"/>
          <w:color w:val="auto"/>
          <w:position w:val="-6"/>
          <w:szCs w:val="22"/>
          <w:highlight w:val="none"/>
        </w:rPr>
        <w:object>
          <v:shape id="_x0000_i1062" o:spt="75" type="#_x0000_t75" style="height:12.75pt;width:45.7pt;" o:ole="t" filled="f" o:preferrelative="t" stroked="f" coordsize="21600,21600">
            <v:path/>
            <v:fill on="f" focussize="0,0"/>
            <v:stroke on="f"/>
            <v:imagedata r:id="rId97" o:title=""/>
            <o:lock v:ext="edit" aspectratio="t"/>
            <w10:wrap type="none"/>
            <w10:anchorlock/>
          </v:shape>
          <o:OLEObject Type="Embed" ProgID="Equation.KSEE3" ShapeID="_x0000_i1062" DrawAspect="Content" ObjectID="_1468075763" r:id="rId96">
            <o:LockedField>false</o:LockedField>
          </o:OLEObject>
        </w:object>
      </w:r>
    </w:p>
    <w:p w14:paraId="3FCE567F">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rPr>
          <w:rFonts w:hint="eastAsia" w:ascii="Times New Roman"/>
          <w:color w:val="auto"/>
          <w:szCs w:val="22"/>
          <w:highlight w:val="none"/>
        </w:rPr>
      </w:pPr>
      <w:r>
        <w:rPr>
          <w:rFonts w:ascii="Times New Roman"/>
          <w:color w:val="auto"/>
          <w:szCs w:val="22"/>
          <w:highlight w:val="none"/>
        </w:rPr>
        <w:t>式中</w:t>
      </w:r>
      <w:r>
        <w:rPr>
          <w:rFonts w:hint="eastAsia" w:ascii="Times New Roman"/>
          <w:color w:val="auto"/>
          <w:szCs w:val="22"/>
          <w:highlight w:val="none"/>
        </w:rPr>
        <w:t>：</w:t>
      </w:r>
    </w:p>
    <w:p w14:paraId="79BF0750">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rPr>
          <w:rFonts w:ascii="Times New Roman"/>
          <w:color w:val="auto"/>
          <w:szCs w:val="22"/>
          <w:highlight w:val="none"/>
        </w:rPr>
      </w:pPr>
      <w:r>
        <w:rPr>
          <w:rFonts w:ascii="Times New Roman"/>
          <w:color w:val="auto"/>
          <w:szCs w:val="22"/>
          <w:highlight w:val="none"/>
        </w:rPr>
        <w:t xml:space="preserve">    L——暗管间距，m；</w:t>
      </w:r>
    </w:p>
    <w:p w14:paraId="109E5F6D">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rPr>
          <w:rFonts w:ascii="Times New Roman"/>
          <w:color w:val="auto"/>
          <w:szCs w:val="22"/>
          <w:highlight w:val="none"/>
        </w:rPr>
      </w:pPr>
      <w:r>
        <w:rPr>
          <w:rFonts w:ascii="Times New Roman"/>
          <w:color w:val="auto"/>
          <w:szCs w:val="22"/>
          <w:highlight w:val="none"/>
        </w:rPr>
        <w:t xml:space="preserve">    N——经验系数，黏土为20，壤土为30，砂壤土为40；</w:t>
      </w:r>
    </w:p>
    <w:p w14:paraId="73CDB337">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rPr>
          <w:rFonts w:ascii="Times New Roman"/>
          <w:color w:val="auto"/>
          <w:szCs w:val="22"/>
          <w:highlight w:val="none"/>
        </w:rPr>
      </w:pPr>
      <w:r>
        <w:rPr>
          <w:rFonts w:ascii="Times New Roman"/>
          <w:color w:val="auto"/>
          <w:szCs w:val="22"/>
          <w:highlight w:val="none"/>
        </w:rPr>
        <w:t xml:space="preserve">    K——土壤渗透系数，m/d；</w:t>
      </w:r>
    </w:p>
    <w:p w14:paraId="58BB074F">
      <w:pPr>
        <w:pStyle w:val="25"/>
        <w:keepNext w:val="0"/>
        <w:keepLines w:val="0"/>
        <w:pageBreakBefore w:val="0"/>
        <w:widowControl/>
        <w:kinsoku/>
        <w:wordWrap/>
        <w:overflowPunct/>
        <w:topLinePunct w:val="0"/>
        <w:autoSpaceDE w:val="0"/>
        <w:autoSpaceDN w:val="0"/>
        <w:bidi w:val="0"/>
        <w:adjustRightInd/>
        <w:snapToGrid/>
        <w:spacing w:line="240" w:lineRule="auto"/>
        <w:rPr>
          <w:rFonts w:ascii="Times New Roman"/>
          <w:color w:val="auto"/>
          <w:szCs w:val="22"/>
          <w:highlight w:val="none"/>
        </w:rPr>
      </w:pPr>
      <w:r>
        <w:rPr>
          <w:rFonts w:ascii="Times New Roman"/>
          <w:color w:val="auto"/>
          <w:szCs w:val="22"/>
          <w:highlight w:val="none"/>
        </w:rPr>
        <w:t>H——暗管埋深，m。</w:t>
      </w:r>
    </w:p>
    <w:p w14:paraId="3D66BC18">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rPr>
          <w:rFonts w:ascii="Times New Roman"/>
          <w:color w:val="auto"/>
          <w:szCs w:val="22"/>
          <w:highlight w:val="none"/>
        </w:rPr>
      </w:pPr>
      <w:r>
        <w:rPr>
          <w:rFonts w:hint="eastAsia" w:ascii="宋体" w:hAnsi="宋体" w:eastAsia="宋体" w:cs="宋体"/>
          <w:color w:val="auto"/>
          <w:szCs w:val="22"/>
          <w:highlight w:val="none"/>
        </w:rPr>
        <w:t xml:space="preserve">6.3.2 </w:t>
      </w:r>
      <w:r>
        <w:rPr>
          <w:rFonts w:ascii="Times New Roman"/>
          <w:color w:val="auto"/>
          <w:szCs w:val="22"/>
          <w:highlight w:val="none"/>
        </w:rPr>
        <w:t>目前暗管排水工程，多是在明沟排水的基础上，为防治土壤盐碱化或农田渍害的需要而设置的，通常只设一级吸水管</w:t>
      </w:r>
      <w:r>
        <w:rPr>
          <w:rFonts w:hint="eastAsia" w:ascii="Times New Roman"/>
          <w:color w:val="auto"/>
          <w:szCs w:val="22"/>
          <w:highlight w:val="none"/>
        </w:rPr>
        <w:t>（</w:t>
      </w:r>
      <w:r>
        <w:rPr>
          <w:rFonts w:ascii="Times New Roman"/>
          <w:color w:val="auto"/>
          <w:szCs w:val="22"/>
          <w:highlight w:val="none"/>
        </w:rPr>
        <w:t>也有加设集水管的），控制面积有限，故式（6.3</w:t>
      </w:r>
      <w:r>
        <w:rPr>
          <w:rFonts w:hint="eastAsia" w:ascii="Times New Roman"/>
          <w:color w:val="auto"/>
          <w:szCs w:val="22"/>
          <w:highlight w:val="none"/>
        </w:rPr>
        <w:t>-2）</w:t>
      </w:r>
      <w:r>
        <w:rPr>
          <w:rFonts w:ascii="Times New Roman"/>
          <w:color w:val="auto"/>
          <w:szCs w:val="22"/>
          <w:highlight w:val="none"/>
        </w:rPr>
        <w:t>中一般可取C=l。据国外资料介绍，当某级管道的排水控制面积小于16hm</w:t>
      </w:r>
      <w:r>
        <w:rPr>
          <w:rFonts w:ascii="Times New Roman"/>
          <w:color w:val="auto"/>
          <w:sz w:val="22"/>
          <w:szCs w:val="24"/>
          <w:highlight w:val="none"/>
          <w:vertAlign w:val="superscript"/>
        </w:rPr>
        <w:t>2</w:t>
      </w:r>
      <w:r>
        <w:rPr>
          <w:rFonts w:ascii="Times New Roman"/>
          <w:color w:val="auto"/>
          <w:szCs w:val="22"/>
          <w:highlight w:val="none"/>
        </w:rPr>
        <w:t>（240亩）时可取 C = 1；50hm</w:t>
      </w:r>
      <w:r>
        <w:rPr>
          <w:rFonts w:ascii="Times New Roman"/>
          <w:color w:val="auto"/>
          <w:sz w:val="22"/>
          <w:szCs w:val="24"/>
          <w:highlight w:val="none"/>
          <w:vertAlign w:val="superscript"/>
        </w:rPr>
        <w:t>2</w:t>
      </w:r>
      <w:r>
        <w:rPr>
          <w:rFonts w:ascii="Times New Roman"/>
          <w:color w:val="auto"/>
          <w:szCs w:val="22"/>
          <w:highlight w:val="none"/>
        </w:rPr>
        <w:t>（750亩）时取0.86；100hm</w:t>
      </w:r>
      <w:r>
        <w:rPr>
          <w:rFonts w:ascii="Times New Roman"/>
          <w:color w:val="auto"/>
          <w:sz w:val="22"/>
          <w:szCs w:val="24"/>
          <w:highlight w:val="none"/>
          <w:vertAlign w:val="superscript"/>
        </w:rPr>
        <w:t>2</w:t>
      </w:r>
      <w:r>
        <w:rPr>
          <w:rFonts w:ascii="Times New Roman"/>
          <w:color w:val="auto"/>
          <w:szCs w:val="22"/>
          <w:highlight w:val="none"/>
        </w:rPr>
        <w:t>（1500亩）时取0.75；200hm</w:t>
      </w:r>
      <w:r>
        <w:rPr>
          <w:rFonts w:ascii="Times New Roman"/>
          <w:color w:val="auto"/>
          <w:sz w:val="22"/>
          <w:szCs w:val="24"/>
          <w:highlight w:val="none"/>
          <w:vertAlign w:val="superscript"/>
        </w:rPr>
        <w:t>2</w:t>
      </w:r>
      <w:r>
        <w:rPr>
          <w:rFonts w:ascii="Times New Roman"/>
          <w:color w:val="auto"/>
          <w:szCs w:val="22"/>
          <w:highlight w:val="none"/>
        </w:rPr>
        <w:t>（3000亩）时取0.64；300hm</w:t>
      </w:r>
      <w:r>
        <w:rPr>
          <w:rFonts w:ascii="Times New Roman"/>
          <w:color w:val="auto"/>
          <w:sz w:val="22"/>
          <w:szCs w:val="24"/>
          <w:highlight w:val="none"/>
          <w:vertAlign w:val="superscript"/>
        </w:rPr>
        <w:t>2</w:t>
      </w:r>
      <w:r>
        <w:rPr>
          <w:rFonts w:ascii="Times New Roman"/>
          <w:color w:val="auto"/>
          <w:szCs w:val="22"/>
          <w:highlight w:val="none"/>
        </w:rPr>
        <w:t>（4500亩）时取0.56；等于或大于500hm</w:t>
      </w:r>
      <w:r>
        <w:rPr>
          <w:rFonts w:ascii="Times New Roman"/>
          <w:color w:val="auto"/>
          <w:sz w:val="22"/>
          <w:szCs w:val="24"/>
          <w:highlight w:val="none"/>
          <w:vertAlign w:val="superscript"/>
        </w:rPr>
        <w:t>2</w:t>
      </w:r>
      <w:r>
        <w:rPr>
          <w:rFonts w:ascii="Times New Roman"/>
          <w:color w:val="auto"/>
          <w:szCs w:val="22"/>
          <w:highlight w:val="none"/>
        </w:rPr>
        <w:t>（7500亩）时取0.5，以上数据仅供参考，宜以试验或实践经验为主选择。</w:t>
      </w:r>
    </w:p>
    <w:p w14:paraId="76DFBD0B">
      <w:pPr>
        <w:pStyle w:val="25"/>
        <w:keepNext w:val="0"/>
        <w:keepLines w:val="0"/>
        <w:pageBreakBefore w:val="0"/>
        <w:widowControl/>
        <w:kinsoku/>
        <w:wordWrap/>
        <w:overflowPunct/>
        <w:topLinePunct w:val="0"/>
        <w:autoSpaceDE w:val="0"/>
        <w:autoSpaceDN w:val="0"/>
        <w:bidi w:val="0"/>
        <w:adjustRightInd/>
        <w:snapToGrid/>
        <w:spacing w:line="240" w:lineRule="auto"/>
        <w:textAlignment w:val="center"/>
        <w:rPr>
          <w:rFonts w:ascii="Times New Roman"/>
          <w:color w:val="auto"/>
          <w:szCs w:val="22"/>
          <w:highlight w:val="none"/>
        </w:rPr>
      </w:pPr>
      <w:r>
        <w:rPr>
          <w:rFonts w:ascii="Times New Roman"/>
          <w:color w:val="auto"/>
          <w:szCs w:val="22"/>
          <w:highlight w:val="none"/>
        </w:rPr>
        <w:t>排水暗管内径的计算公式是用满宁公式推求得到的。吸水管内的流量因沿程增加而采用非均匀流方法；集水管在无吸水管水流汇人的管段内，因流量恒定而采用均匀流方法。与充盈度有关的</w:t>
      </w:r>
      <w:r>
        <w:rPr>
          <w:rFonts w:hint="default" w:ascii="Times New Roman" w:hAnsi="Times New Roman" w:cs="Times New Roman"/>
          <w:i/>
          <w:iCs/>
          <w:color w:val="auto"/>
          <w:szCs w:val="22"/>
          <w:highlight w:val="none"/>
        </w:rPr>
        <w:t>α</w:t>
      </w:r>
      <w:r>
        <w:rPr>
          <w:rFonts w:hint="default" w:ascii="Times New Roman" w:hAnsi="Times New Roman" w:cs="Times New Roman"/>
          <w:color w:val="auto"/>
          <w:szCs w:val="22"/>
          <w:highlight w:val="none"/>
        </w:rPr>
        <w:t>值和</w:t>
      </w:r>
      <w:r>
        <w:rPr>
          <w:rFonts w:hint="default" w:ascii="Times New Roman" w:hAnsi="Times New Roman" w:cs="Times New Roman"/>
          <w:i/>
          <w:iCs/>
          <w:color w:val="auto"/>
          <w:szCs w:val="22"/>
          <w:highlight w:val="none"/>
        </w:rPr>
        <w:t>β</w:t>
      </w:r>
      <w:r>
        <w:rPr>
          <w:rFonts w:ascii="Times New Roman"/>
          <w:color w:val="auto"/>
          <w:szCs w:val="22"/>
          <w:highlight w:val="none"/>
        </w:rPr>
        <w:t>值，均参照农田暗管排水技术范</w:t>
      </w:r>
      <w:r>
        <w:rPr>
          <w:rFonts w:hint="eastAsia" w:ascii="Times New Roman"/>
          <w:color w:val="auto"/>
          <w:szCs w:val="22"/>
          <w:highlight w:val="none"/>
          <w:lang w:eastAsia="zh-CN"/>
        </w:rPr>
        <w:t>（</w:t>
      </w:r>
      <w:r>
        <w:rPr>
          <w:rFonts w:ascii="Times New Roman"/>
          <w:color w:val="auto"/>
          <w:szCs w:val="22"/>
          <w:highlight w:val="none"/>
        </w:rPr>
        <w:t>SL4-20</w:t>
      </w:r>
      <w:r>
        <w:rPr>
          <w:rFonts w:hint="eastAsia" w:ascii="Times New Roman"/>
          <w:color w:val="auto"/>
          <w:szCs w:val="22"/>
          <w:highlight w:val="none"/>
          <w:lang w:val="en-US" w:eastAsia="zh-CN"/>
        </w:rPr>
        <w:t>20</w:t>
      </w:r>
      <w:r>
        <w:rPr>
          <w:rFonts w:hint="eastAsia" w:ascii="Times New Roman"/>
          <w:color w:val="auto"/>
          <w:szCs w:val="22"/>
          <w:highlight w:val="none"/>
          <w:lang w:eastAsia="zh-CN"/>
        </w:rPr>
        <w:t>）</w:t>
      </w:r>
      <w:r>
        <w:rPr>
          <w:rFonts w:ascii="Times New Roman"/>
          <w:color w:val="auto"/>
          <w:szCs w:val="22"/>
          <w:highlight w:val="none"/>
        </w:rPr>
        <w:t>中的计算式。为防止管道淤积形成过水能力减小，暗管选用的内径应大于计算内径。因</w:t>
      </w:r>
      <w:r>
        <w:rPr>
          <w:rFonts w:hint="eastAsia" w:ascii="Times New Roman"/>
          <w:color w:val="auto"/>
          <w:szCs w:val="22"/>
          <w:highlight w:val="none"/>
          <w:lang w:val="en-US" w:eastAsia="zh-CN"/>
        </w:rPr>
        <w:t>此，</w:t>
      </w:r>
      <w:r>
        <w:rPr>
          <w:rFonts w:ascii="Times New Roman"/>
          <w:color w:val="auto"/>
          <w:szCs w:val="22"/>
          <w:highlight w:val="none"/>
        </w:rPr>
        <w:t>吸水管和集水管的选用倍值分别为按国际常用设计流量占满管流量60%</w:t>
      </w:r>
      <w:r>
        <w:rPr>
          <w:rFonts w:hint="eastAsia" w:ascii="Times New Roman" w:cs="Times New Roman"/>
          <w:color w:val="auto"/>
          <w:szCs w:val="22"/>
          <w:highlight w:val="none"/>
          <w:lang w:val="en-US" w:eastAsia="zh-CN"/>
        </w:rPr>
        <w:t>~</w:t>
      </w:r>
      <w:r>
        <w:rPr>
          <w:rFonts w:ascii="Times New Roman"/>
          <w:color w:val="auto"/>
          <w:szCs w:val="22"/>
          <w:highlight w:val="none"/>
        </w:rPr>
        <w:t>70%和75%</w:t>
      </w:r>
      <w:r>
        <w:rPr>
          <w:rFonts w:hint="eastAsia" w:ascii="Times New Roman"/>
          <w:color w:val="auto"/>
          <w:szCs w:val="22"/>
          <w:highlight w:val="none"/>
          <w:lang w:val="en-US" w:eastAsia="zh-CN"/>
        </w:rPr>
        <w:t>~</w:t>
      </w:r>
      <w:r>
        <w:rPr>
          <w:rFonts w:ascii="Times New Roman"/>
          <w:color w:val="auto"/>
          <w:szCs w:val="22"/>
          <w:highlight w:val="none"/>
        </w:rPr>
        <w:t>80%求得的平均值。由于集水管控制面积较大，一般管道较长，采用适当分段变径可节省工程投资。</w:t>
      </w:r>
    </w:p>
    <w:p w14:paraId="483526F8">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rPr>
          <w:rFonts w:ascii="Times New Roman"/>
          <w:color w:val="auto"/>
          <w:szCs w:val="21"/>
          <w:highlight w:val="none"/>
        </w:rPr>
      </w:pPr>
      <w:r>
        <w:rPr>
          <w:rFonts w:hint="eastAsia" w:ascii="宋体" w:hAnsi="宋体" w:eastAsia="宋体" w:cs="宋体"/>
          <w:color w:val="auto"/>
          <w:szCs w:val="22"/>
          <w:highlight w:val="none"/>
        </w:rPr>
        <w:t xml:space="preserve">6.3.3 </w:t>
      </w:r>
      <w:r>
        <w:rPr>
          <w:rFonts w:ascii="Times New Roman"/>
          <w:color w:val="auto"/>
          <w:szCs w:val="22"/>
          <w:highlight w:val="none"/>
        </w:rPr>
        <w:t>条款</w:t>
      </w:r>
      <w:r>
        <w:rPr>
          <w:rFonts w:ascii="Times New Roman"/>
          <w:color w:val="auto"/>
          <w:szCs w:val="21"/>
          <w:highlight w:val="none"/>
        </w:rPr>
        <w:t>中</w:t>
      </w:r>
      <w:r>
        <w:rPr>
          <w:rFonts w:hint="eastAsia" w:ascii="Times New Roman"/>
          <w:color w:val="auto"/>
          <w:szCs w:val="21"/>
          <w:highlight w:val="none"/>
        </w:rPr>
        <w:t>“</w:t>
      </w:r>
      <w:r>
        <w:rPr>
          <w:rFonts w:ascii="Times New Roman"/>
          <w:color w:val="auto"/>
          <w:szCs w:val="21"/>
          <w:highlight w:val="none"/>
        </w:rPr>
        <w:t>在地形平坦地区，吸水管首、末端的埋深差值不宜大于0.4m</w:t>
      </w:r>
      <w:r>
        <w:rPr>
          <w:rFonts w:hint="eastAsia" w:ascii="Times New Roman"/>
          <w:color w:val="auto"/>
          <w:szCs w:val="21"/>
          <w:highlight w:val="none"/>
        </w:rPr>
        <w:t>”</w:t>
      </w:r>
      <w:r>
        <w:rPr>
          <w:rFonts w:ascii="Times New Roman"/>
          <w:color w:val="auto"/>
          <w:szCs w:val="21"/>
          <w:highlight w:val="none"/>
        </w:rPr>
        <w:t>的规定，是为了防止因吸水管首、末端埋深差异较大，造成田块内土壤水分不均匀而对作物生长产生影响。其中平均流速计算式为满宁公式的另一种表达方式。</w:t>
      </w:r>
    </w:p>
    <w:p w14:paraId="1020D50E">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rPr>
          <w:rFonts w:ascii="Times New Roman"/>
          <w:color w:val="auto"/>
          <w:szCs w:val="22"/>
          <w:highlight w:val="none"/>
        </w:rPr>
      </w:pPr>
      <w:r>
        <w:rPr>
          <w:rFonts w:hint="eastAsia" w:ascii="宋体" w:hAnsi="宋体" w:eastAsia="宋体" w:cs="宋体"/>
          <w:color w:val="auto"/>
          <w:szCs w:val="22"/>
          <w:highlight w:val="none"/>
          <w:lang w:val="en-US" w:eastAsia="zh-CN"/>
        </w:rPr>
        <w:t xml:space="preserve">6.4.0 </w:t>
      </w:r>
      <w:r>
        <w:rPr>
          <w:rFonts w:hint="eastAsia" w:ascii="Times New Roman"/>
          <w:color w:val="auto"/>
          <w:szCs w:val="22"/>
          <w:highlight w:val="none"/>
          <w:lang w:val="en-US" w:eastAsia="zh-CN"/>
        </w:rPr>
        <w:t>本条款有关无纺布外包料选型参考了</w:t>
      </w:r>
      <w:r>
        <w:rPr>
          <w:rFonts w:hint="eastAsia"/>
          <w:color w:val="auto"/>
          <w:highlight w:val="none"/>
        </w:rPr>
        <w:t>宁夏</w:t>
      </w:r>
      <w:r>
        <w:rPr>
          <w:rFonts w:hint="eastAsia"/>
          <w:color w:val="auto"/>
          <w:highlight w:val="none"/>
          <w:lang w:val="en-US" w:eastAsia="zh-CN"/>
        </w:rPr>
        <w:t>暗管排水工程</w:t>
      </w:r>
      <w:r>
        <w:rPr>
          <w:rFonts w:hint="eastAsia"/>
          <w:color w:val="auto"/>
          <w:highlight w:val="none"/>
        </w:rPr>
        <w:t>实践</w:t>
      </w:r>
      <w:r>
        <w:rPr>
          <w:rFonts w:hint="eastAsia"/>
          <w:color w:val="auto"/>
          <w:highlight w:val="none"/>
          <w:lang w:val="en-US" w:eastAsia="zh-CN"/>
        </w:rPr>
        <w:t>经验以及有关室内试验结果。</w:t>
      </w:r>
    </w:p>
    <w:p w14:paraId="77C08132">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rPr>
          <w:rFonts w:hint="eastAsia" w:ascii="Times New Roman"/>
          <w:color w:val="auto"/>
          <w:szCs w:val="22"/>
          <w:highlight w:val="none"/>
        </w:rPr>
      </w:pPr>
      <w:r>
        <w:rPr>
          <w:rFonts w:hint="eastAsia" w:ascii="宋体" w:hAnsi="宋体" w:eastAsia="宋体" w:cs="宋体"/>
          <w:color w:val="auto"/>
          <w:szCs w:val="22"/>
          <w:highlight w:val="none"/>
        </w:rPr>
        <w:t>6.</w:t>
      </w:r>
      <w:r>
        <w:rPr>
          <w:rFonts w:hint="eastAsia" w:ascii="宋体" w:hAnsi="宋体" w:eastAsia="宋体" w:cs="宋体"/>
          <w:color w:val="auto"/>
          <w:szCs w:val="22"/>
          <w:highlight w:val="none"/>
          <w:lang w:val="en-US" w:eastAsia="zh-CN"/>
        </w:rPr>
        <w:t>4</w:t>
      </w:r>
      <w:r>
        <w:rPr>
          <w:rFonts w:hint="eastAsia" w:ascii="宋体" w:hAnsi="宋体" w:eastAsia="宋体" w:cs="宋体"/>
          <w:color w:val="auto"/>
          <w:szCs w:val="22"/>
          <w:highlight w:val="none"/>
        </w:rPr>
        <w:t>.1</w:t>
      </w:r>
      <w:r>
        <w:rPr>
          <w:rFonts w:ascii="Times New Roman"/>
          <w:color w:val="auto"/>
          <w:szCs w:val="22"/>
          <w:highlight w:val="none"/>
        </w:rPr>
        <w:t xml:space="preserve"> 吸水管周围一般均应设置外包滤料，以改善吸水管周围水流入管条件和防止泥沙入管造成淤堵，保证排水效果。在地下排水管道周围设置外包料的主要原因有</w:t>
      </w:r>
      <w:r>
        <w:rPr>
          <w:rFonts w:hint="eastAsia" w:ascii="Times New Roman"/>
          <w:color w:val="auto"/>
          <w:szCs w:val="22"/>
          <w:highlight w:val="none"/>
        </w:rPr>
        <w:t>：</w:t>
      </w:r>
      <w:r>
        <w:rPr>
          <w:rFonts w:hint="default" w:ascii="Times New Roman" w:hAnsi="Times New Roman" w:cs="Times New Roman"/>
          <w:color w:val="auto"/>
          <w:sz w:val="21"/>
          <w:szCs w:val="21"/>
          <w:highlight w:val="none"/>
        </w:rPr>
        <w:t>①</w:t>
      </w:r>
      <w:r>
        <w:rPr>
          <w:rFonts w:hint="default" w:ascii="Times New Roman" w:hAnsi="Times New Roman" w:cs="Times New Roman"/>
          <w:color w:val="auto"/>
          <w:szCs w:val="22"/>
          <w:highlight w:val="none"/>
        </w:rPr>
        <w:t>阻止土颗粒进入排水中；</w:t>
      </w:r>
      <w:r>
        <w:rPr>
          <w:rFonts w:hint="default" w:ascii="Times New Roman" w:hAnsi="Times New Roman" w:cs="Times New Roman"/>
          <w:color w:val="auto"/>
          <w:sz w:val="21"/>
          <w:szCs w:val="21"/>
          <w:highlight w:val="none"/>
        </w:rPr>
        <w:t>②</w:t>
      </w:r>
      <w:r>
        <w:rPr>
          <w:rFonts w:hint="default" w:ascii="Times New Roman" w:hAnsi="Times New Roman" w:cs="Times New Roman"/>
          <w:color w:val="auto"/>
          <w:szCs w:val="22"/>
          <w:highlight w:val="none"/>
        </w:rPr>
        <w:t>作为排水管附近渗流介质的过渡材料；</w:t>
      </w:r>
      <w:r>
        <w:rPr>
          <w:rFonts w:hint="default" w:ascii="Times New Roman" w:hAnsi="Times New Roman" w:cs="Times New Roman"/>
          <w:color w:val="auto"/>
          <w:sz w:val="21"/>
          <w:szCs w:val="21"/>
          <w:highlight w:val="none"/>
        </w:rPr>
        <w:t>③</w:t>
      </w:r>
      <w:r>
        <w:rPr>
          <w:rFonts w:hint="default" w:ascii="Times New Roman" w:hAnsi="Times New Roman" w:cs="Times New Roman"/>
          <w:color w:val="auto"/>
          <w:szCs w:val="22"/>
          <w:highlight w:val="none"/>
        </w:rPr>
        <w:t>为排水管提供合适的座垫；④稳定排水管下方的土壤物质。</w:t>
      </w:r>
    </w:p>
    <w:p w14:paraId="26467930">
      <w:pPr>
        <w:pStyle w:val="25"/>
        <w:keepNext w:val="0"/>
        <w:keepLines w:val="0"/>
        <w:pageBreakBefore w:val="0"/>
        <w:widowControl/>
        <w:kinsoku/>
        <w:wordWrap/>
        <w:overflowPunct/>
        <w:topLinePunct w:val="0"/>
        <w:autoSpaceDE w:val="0"/>
        <w:autoSpaceDN w:val="0"/>
        <w:bidi w:val="0"/>
        <w:adjustRightInd/>
        <w:snapToGrid/>
        <w:spacing w:line="240" w:lineRule="auto"/>
        <w:textAlignment w:val="center"/>
        <w:rPr>
          <w:rFonts w:hint="eastAsia" w:ascii="Times New Roman"/>
          <w:color w:val="auto"/>
          <w:szCs w:val="22"/>
          <w:highlight w:val="none"/>
        </w:rPr>
      </w:pPr>
      <w:r>
        <w:rPr>
          <w:rFonts w:ascii="Times New Roman"/>
          <w:color w:val="auto"/>
          <w:szCs w:val="22"/>
          <w:highlight w:val="none"/>
        </w:rPr>
        <w:t>1922年太沙基建立的滤层标准得到公认，即滤料</w:t>
      </w:r>
      <w:r>
        <w:rPr>
          <w:rFonts w:hint="eastAsia" w:ascii="Times New Roman"/>
          <w:i/>
          <w:iCs/>
          <w:color w:val="auto"/>
          <w:szCs w:val="22"/>
          <w:highlight w:val="none"/>
          <w:lang w:val="en-US" w:eastAsia="zh-CN"/>
        </w:rPr>
        <w:t>d</w:t>
      </w:r>
      <w:r>
        <w:rPr>
          <w:rFonts w:hint="eastAsia" w:ascii="Times New Roman"/>
          <w:color w:val="auto"/>
          <w:szCs w:val="22"/>
          <w:highlight w:val="none"/>
          <w:vertAlign w:val="subscript"/>
          <w:lang w:val="en-US" w:eastAsia="zh-CN"/>
        </w:rPr>
        <w:t>15</w:t>
      </w:r>
      <w:r>
        <w:rPr>
          <w:rFonts w:ascii="Times New Roman"/>
          <w:color w:val="auto"/>
          <w:szCs w:val="22"/>
          <w:highlight w:val="none"/>
        </w:rPr>
        <w:t>/土壤</w:t>
      </w:r>
      <w:r>
        <w:rPr>
          <w:rFonts w:hint="eastAsia" w:ascii="Times New Roman"/>
          <w:i/>
          <w:iCs/>
          <w:color w:val="auto"/>
          <w:szCs w:val="22"/>
          <w:highlight w:val="none"/>
          <w:lang w:val="en-US" w:eastAsia="zh-CN"/>
        </w:rPr>
        <w:t>d</w:t>
      </w:r>
      <w:r>
        <w:rPr>
          <w:rFonts w:hint="eastAsia" w:ascii="Times New Roman"/>
          <w:color w:val="auto"/>
          <w:szCs w:val="22"/>
          <w:highlight w:val="none"/>
          <w:vertAlign w:val="subscript"/>
          <w:lang w:val="en-US" w:eastAsia="zh-CN"/>
        </w:rPr>
        <w:t>15</w:t>
      </w:r>
      <w:r>
        <w:rPr>
          <w:rFonts w:hint="eastAsia" w:ascii="Times New Roman"/>
          <w:color w:val="auto"/>
          <w:szCs w:val="22"/>
          <w:highlight w:val="none"/>
          <w:vertAlign w:val="baseline"/>
          <w:lang w:val="en-US" w:eastAsia="zh-CN"/>
        </w:rPr>
        <w:t>≥4</w:t>
      </w:r>
      <w:r>
        <w:rPr>
          <w:rFonts w:ascii="Times New Roman"/>
          <w:color w:val="auto"/>
          <w:szCs w:val="22"/>
          <w:highlight w:val="none"/>
        </w:rPr>
        <w:t>时，将使滤料的透水性大于土壤10倍以上；滤料</w:t>
      </w:r>
      <w:r>
        <w:rPr>
          <w:rFonts w:hint="eastAsia" w:ascii="Times New Roman"/>
          <w:i/>
          <w:iCs/>
          <w:color w:val="auto"/>
          <w:szCs w:val="22"/>
          <w:highlight w:val="none"/>
          <w:lang w:val="en-US" w:eastAsia="zh-CN"/>
        </w:rPr>
        <w:t>d</w:t>
      </w:r>
      <w:r>
        <w:rPr>
          <w:rFonts w:hint="eastAsia" w:ascii="Times New Roman"/>
          <w:color w:val="auto"/>
          <w:szCs w:val="22"/>
          <w:highlight w:val="none"/>
          <w:vertAlign w:val="subscript"/>
          <w:lang w:val="en-US" w:eastAsia="zh-CN"/>
        </w:rPr>
        <w:t>15</w:t>
      </w:r>
      <w:r>
        <w:rPr>
          <w:rFonts w:ascii="Times New Roman"/>
          <w:color w:val="auto"/>
          <w:szCs w:val="22"/>
          <w:highlight w:val="none"/>
        </w:rPr>
        <w:t>/土壤</w:t>
      </w:r>
      <w:r>
        <w:rPr>
          <w:rFonts w:hint="eastAsia" w:ascii="Times New Roman"/>
          <w:i/>
          <w:iCs/>
          <w:color w:val="auto"/>
          <w:szCs w:val="22"/>
          <w:highlight w:val="none"/>
          <w:lang w:val="en-US" w:eastAsia="zh-CN"/>
        </w:rPr>
        <w:t>d</w:t>
      </w:r>
      <w:r>
        <w:rPr>
          <w:rFonts w:hint="eastAsia" w:ascii="Times New Roman"/>
          <w:color w:val="auto"/>
          <w:szCs w:val="22"/>
          <w:highlight w:val="none"/>
          <w:vertAlign w:val="subscript"/>
          <w:lang w:val="en-US" w:eastAsia="zh-CN"/>
        </w:rPr>
        <w:t>15</w:t>
      </w:r>
      <w:r>
        <w:rPr>
          <w:rFonts w:hint="eastAsia" w:ascii="Times New Roman"/>
          <w:color w:val="auto"/>
          <w:szCs w:val="22"/>
          <w:highlight w:val="none"/>
          <w:vertAlign w:val="baseline"/>
          <w:lang w:val="en-US" w:eastAsia="zh-CN"/>
        </w:rPr>
        <w:t>≤4</w:t>
      </w:r>
      <w:r>
        <w:rPr>
          <w:rFonts w:ascii="Times New Roman"/>
          <w:color w:val="auto"/>
          <w:szCs w:val="22"/>
          <w:highlight w:val="none"/>
        </w:rPr>
        <w:t>时，将能阻止土壤中的细颗粒通过滤层进入管道。现代暗管排水的新观点认为</w:t>
      </w:r>
      <w:r>
        <w:rPr>
          <w:rFonts w:hint="eastAsia" w:ascii="Times New Roman"/>
          <w:color w:val="auto"/>
          <w:szCs w:val="22"/>
          <w:highlight w:val="none"/>
        </w:rPr>
        <w:t>：</w:t>
      </w:r>
      <w:r>
        <w:rPr>
          <w:rFonts w:ascii="Times New Roman"/>
          <w:color w:val="auto"/>
          <w:szCs w:val="22"/>
          <w:highlight w:val="none"/>
        </w:rPr>
        <w:t>允许吸水管附近的细颗粒通过滤层进入管道而随水流排出暗管，致使吸水管周围的土壤逐渐形成“呈拱架状的自然反滤层”，从而改善其水流状况。因此，本标准仅规定外包滤料的渗透系数应比管周围土壤大10倍以上，其他规定主要是为安全耐久、节省投资和保护水土环境。国内外使用的外包滤料一般可分为以下3类</w:t>
      </w:r>
      <w:r>
        <w:rPr>
          <w:rFonts w:hint="eastAsia" w:ascii="Times New Roman"/>
          <w:color w:val="auto"/>
          <w:szCs w:val="22"/>
          <w:highlight w:val="none"/>
        </w:rPr>
        <w:t>：</w:t>
      </w:r>
    </w:p>
    <w:p w14:paraId="180477F5">
      <w:pPr>
        <w:pStyle w:val="25"/>
        <w:keepNext w:val="0"/>
        <w:keepLines w:val="0"/>
        <w:pageBreakBefore w:val="0"/>
        <w:widowControl/>
        <w:kinsoku/>
        <w:wordWrap/>
        <w:overflowPunct/>
        <w:topLinePunct w:val="0"/>
        <w:autoSpaceDE w:val="0"/>
        <w:autoSpaceDN w:val="0"/>
        <w:bidi w:val="0"/>
        <w:adjustRightInd/>
        <w:snapToGrid/>
        <w:spacing w:line="240" w:lineRule="auto"/>
        <w:rPr>
          <w:rFonts w:ascii="Times New Roman"/>
          <w:color w:val="auto"/>
          <w:szCs w:val="22"/>
          <w:highlight w:val="none"/>
        </w:rPr>
      </w:pPr>
      <w:r>
        <w:rPr>
          <w:rFonts w:ascii="Times New Roman"/>
          <w:color w:val="auto"/>
          <w:szCs w:val="22"/>
          <w:highlight w:val="none"/>
        </w:rPr>
        <w:t>（1）天然有机材料，如稻草、麦秸、芦苇、棕皮、刨花、锯末、稻壳和泥炭等，多用于土壤淤积倾向较轻的地区。</w:t>
      </w:r>
    </w:p>
    <w:p w14:paraId="0CD2B7A0">
      <w:pPr>
        <w:pStyle w:val="25"/>
        <w:keepNext w:val="0"/>
        <w:keepLines w:val="0"/>
        <w:pageBreakBefore w:val="0"/>
        <w:widowControl/>
        <w:kinsoku/>
        <w:wordWrap/>
        <w:overflowPunct/>
        <w:topLinePunct w:val="0"/>
        <w:autoSpaceDE w:val="0"/>
        <w:autoSpaceDN w:val="0"/>
        <w:bidi w:val="0"/>
        <w:adjustRightInd/>
        <w:snapToGrid/>
        <w:spacing w:line="240" w:lineRule="auto"/>
        <w:rPr>
          <w:rFonts w:ascii="Times New Roman"/>
          <w:color w:val="auto"/>
          <w:szCs w:val="22"/>
          <w:highlight w:val="none"/>
        </w:rPr>
      </w:pPr>
      <w:r>
        <w:rPr>
          <w:rFonts w:ascii="Times New Roman"/>
          <w:color w:val="auto"/>
          <w:szCs w:val="22"/>
          <w:highlight w:val="none"/>
        </w:rPr>
        <w:t>（2）无机材料、如砂砾、石屑、碎炉渣、碎砖瓦渣和贝壳等。</w:t>
      </w:r>
    </w:p>
    <w:p w14:paraId="474172DA">
      <w:pPr>
        <w:pStyle w:val="25"/>
        <w:keepNext w:val="0"/>
        <w:keepLines w:val="0"/>
        <w:pageBreakBefore w:val="0"/>
        <w:widowControl/>
        <w:kinsoku/>
        <w:wordWrap/>
        <w:overflowPunct/>
        <w:topLinePunct w:val="0"/>
        <w:autoSpaceDE w:val="0"/>
        <w:autoSpaceDN w:val="0"/>
        <w:bidi w:val="0"/>
        <w:adjustRightInd/>
        <w:snapToGrid/>
        <w:spacing w:line="240" w:lineRule="auto"/>
        <w:rPr>
          <w:rFonts w:ascii="Times New Roman"/>
          <w:color w:val="auto"/>
          <w:szCs w:val="22"/>
          <w:highlight w:val="none"/>
        </w:rPr>
      </w:pPr>
      <w:r>
        <w:rPr>
          <w:rFonts w:ascii="Times New Roman"/>
          <w:color w:val="auto"/>
          <w:szCs w:val="22"/>
          <w:highlight w:val="none"/>
        </w:rPr>
        <w:t>（3）人工合成材料，如透水泡沫塑料、玻璃纤维、土工织物等，其中玻璃纤维在铁、锰含量较高的土壤中不宜使用。</w:t>
      </w:r>
    </w:p>
    <w:p w14:paraId="4917A374">
      <w:pPr>
        <w:pStyle w:val="25"/>
        <w:keepNext w:val="0"/>
        <w:keepLines w:val="0"/>
        <w:pageBreakBefore w:val="0"/>
        <w:widowControl/>
        <w:kinsoku/>
        <w:wordWrap/>
        <w:overflowPunct/>
        <w:topLinePunct w:val="0"/>
        <w:autoSpaceDE w:val="0"/>
        <w:autoSpaceDN w:val="0"/>
        <w:bidi w:val="0"/>
        <w:adjustRightInd/>
        <w:snapToGrid/>
        <w:spacing w:line="240" w:lineRule="auto"/>
        <w:rPr>
          <w:rFonts w:hint="default" w:ascii="Times New Roman" w:eastAsia="宋体"/>
          <w:color w:val="auto"/>
          <w:szCs w:val="22"/>
          <w:highlight w:val="none"/>
          <w:lang w:val="en-US" w:eastAsia="zh-CN"/>
        </w:rPr>
      </w:pPr>
      <w:r>
        <w:rPr>
          <w:rFonts w:hint="eastAsia" w:ascii="Times New Roman"/>
          <w:color w:val="auto"/>
          <w:szCs w:val="22"/>
          <w:highlight w:val="none"/>
          <w:lang w:val="en-US" w:eastAsia="zh-CN"/>
        </w:rPr>
        <w:t>需要说明的是，</w:t>
      </w:r>
    </w:p>
    <w:p w14:paraId="408766DE">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rPr>
          <w:rFonts w:ascii="Times New Roman"/>
          <w:color w:val="auto"/>
          <w:szCs w:val="22"/>
          <w:highlight w:val="none"/>
        </w:rPr>
      </w:pPr>
      <w:r>
        <w:rPr>
          <w:rFonts w:hint="eastAsia" w:ascii="宋体" w:hAnsi="宋体" w:eastAsia="宋体" w:cs="宋体"/>
          <w:color w:val="auto"/>
          <w:szCs w:val="22"/>
          <w:highlight w:val="none"/>
        </w:rPr>
        <w:t>6.</w:t>
      </w:r>
      <w:r>
        <w:rPr>
          <w:rFonts w:hint="eastAsia" w:ascii="宋体" w:hAnsi="宋体" w:eastAsia="宋体" w:cs="宋体"/>
          <w:color w:val="auto"/>
          <w:szCs w:val="22"/>
          <w:highlight w:val="none"/>
          <w:lang w:val="en-US" w:eastAsia="zh-CN"/>
        </w:rPr>
        <w:t>4</w:t>
      </w:r>
      <w:r>
        <w:rPr>
          <w:rFonts w:hint="eastAsia" w:ascii="宋体" w:hAnsi="宋体" w:eastAsia="宋体" w:cs="宋体"/>
          <w:color w:val="auto"/>
          <w:szCs w:val="22"/>
          <w:highlight w:val="none"/>
        </w:rPr>
        <w:t xml:space="preserve">.2 </w:t>
      </w:r>
      <w:r>
        <w:rPr>
          <w:rFonts w:ascii="Times New Roman"/>
          <w:color w:val="auto"/>
          <w:szCs w:val="22"/>
          <w:highlight w:val="none"/>
        </w:rPr>
        <w:t>选用砂砾滤料时，砂砾的颗粒级配与管周土壤的粒径组成有关。表</w:t>
      </w:r>
      <w:r>
        <w:rPr>
          <w:rFonts w:hint="eastAsia" w:ascii="Times New Roman"/>
          <w:color w:val="auto"/>
          <w:szCs w:val="22"/>
          <w:highlight w:val="none"/>
          <w:lang w:val="en-US" w:eastAsia="zh-CN"/>
        </w:rPr>
        <w:t>6.4.2-1</w:t>
      </w:r>
      <w:r>
        <w:rPr>
          <w:rFonts w:ascii="Times New Roman"/>
          <w:color w:val="auto"/>
          <w:szCs w:val="22"/>
          <w:highlight w:val="none"/>
        </w:rPr>
        <w:t>给出了用于大多数土壤和砂砾外包滤料之间的级配关系。由于农田暗管排水较水工大坝的作用水头要小得多，因而不需要按反滤层进行设计，采用混合滤层即可。</w:t>
      </w:r>
    </w:p>
    <w:p w14:paraId="56DD5228">
      <w:pPr>
        <w:pStyle w:val="139"/>
        <w:keepNext w:val="0"/>
        <w:keepLines w:val="0"/>
        <w:pageBreakBefore w:val="0"/>
        <w:widowControl w:val="0"/>
        <w:numPr>
          <w:ilvl w:val="0"/>
          <w:numId w:val="0"/>
        </w:numPr>
        <w:kinsoku/>
        <w:wordWrap/>
        <w:overflowPunct/>
        <w:topLinePunct w:val="0"/>
        <w:autoSpaceDE/>
        <w:autoSpaceDN/>
        <w:bidi w:val="0"/>
        <w:adjustRightInd w:val="0"/>
        <w:snapToGrid w:val="0"/>
        <w:spacing w:before="0" w:beforeLines="0" w:after="0" w:afterLines="0"/>
        <w:ind w:left="3260"/>
        <w:jc w:val="both"/>
        <w:textAlignment w:val="auto"/>
        <w:rPr>
          <w:color w:val="auto"/>
          <w:sz w:val="18"/>
          <w:szCs w:val="18"/>
          <w:highlight w:val="none"/>
        </w:rPr>
      </w:pPr>
      <w:r>
        <w:rPr>
          <w:color w:val="auto"/>
          <w:sz w:val="18"/>
          <w:szCs w:val="18"/>
          <w:highlight w:val="none"/>
        </w:rPr>
        <w:t>表</w:t>
      </w:r>
      <w:r>
        <w:rPr>
          <w:rFonts w:hint="eastAsia"/>
          <w:color w:val="auto"/>
          <w:sz w:val="18"/>
          <w:szCs w:val="18"/>
          <w:highlight w:val="none"/>
          <w:lang w:val="en-US" w:eastAsia="zh-CN"/>
        </w:rPr>
        <w:t>6.4.2-1</w:t>
      </w:r>
      <w:r>
        <w:rPr>
          <w:color w:val="auto"/>
          <w:sz w:val="18"/>
          <w:szCs w:val="18"/>
          <w:highlight w:val="none"/>
        </w:rPr>
        <w:t>管周土壤与外包砂砾料的级配关系表</w:t>
      </w:r>
    </w:p>
    <w:tbl>
      <w:tblPr>
        <w:tblStyle w:val="34"/>
        <w:tblW w:w="95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9"/>
        <w:gridCol w:w="672"/>
        <w:gridCol w:w="672"/>
        <w:gridCol w:w="671"/>
        <w:gridCol w:w="672"/>
        <w:gridCol w:w="672"/>
        <w:gridCol w:w="672"/>
        <w:gridCol w:w="672"/>
        <w:gridCol w:w="671"/>
        <w:gridCol w:w="672"/>
        <w:gridCol w:w="672"/>
        <w:gridCol w:w="672"/>
        <w:gridCol w:w="671"/>
      </w:tblGrid>
      <w:tr w14:paraId="05EFB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9" w:type="dxa"/>
            <w:vMerge w:val="restart"/>
            <w:vAlign w:val="center"/>
          </w:tcPr>
          <w:p w14:paraId="31885632">
            <w:pPr>
              <w:spacing w:line="240" w:lineRule="auto"/>
              <w:jc w:val="center"/>
              <w:rPr>
                <w:rFonts w:hint="default" w:eastAsia="宋体"/>
                <w:color w:val="auto"/>
                <w:sz w:val="18"/>
                <w:szCs w:val="18"/>
                <w:highlight w:val="none"/>
                <w:lang w:val="en-US" w:eastAsia="zh-CN"/>
              </w:rPr>
            </w:pPr>
            <w:r>
              <w:rPr>
                <w:color w:val="auto"/>
                <w:sz w:val="18"/>
                <w:szCs w:val="18"/>
                <w:highlight w:val="none"/>
              </w:rPr>
              <w:t>管周土壤</w:t>
            </w:r>
            <w:r>
              <w:rPr>
                <w:rFonts w:hint="eastAsia"/>
                <w:i/>
                <w:iCs/>
                <w:color w:val="auto"/>
                <w:sz w:val="18"/>
                <w:szCs w:val="18"/>
                <w:highlight w:val="none"/>
                <w:lang w:val="en-US" w:eastAsia="zh-CN"/>
              </w:rPr>
              <w:t>d</w:t>
            </w:r>
            <w:r>
              <w:rPr>
                <w:rFonts w:hint="eastAsia"/>
                <w:i w:val="0"/>
                <w:iCs w:val="0"/>
                <w:color w:val="auto"/>
                <w:sz w:val="18"/>
                <w:szCs w:val="18"/>
                <w:highlight w:val="none"/>
                <w:vertAlign w:val="subscript"/>
                <w:lang w:val="en-US" w:eastAsia="zh-CN"/>
              </w:rPr>
              <w:t>60</w:t>
            </w:r>
          </w:p>
          <w:p w14:paraId="099F9D35">
            <w:pPr>
              <w:spacing w:line="240" w:lineRule="auto"/>
              <w:jc w:val="center"/>
              <w:rPr>
                <w:color w:val="auto"/>
                <w:sz w:val="18"/>
                <w:szCs w:val="18"/>
                <w:highlight w:val="none"/>
              </w:rPr>
            </w:pPr>
            <w:r>
              <w:rPr>
                <w:color w:val="auto"/>
                <w:sz w:val="18"/>
                <w:szCs w:val="18"/>
                <w:highlight w:val="none"/>
              </w:rPr>
              <w:t>（粒径，mm）</w:t>
            </w:r>
          </w:p>
        </w:tc>
        <w:tc>
          <w:tcPr>
            <w:tcW w:w="8061" w:type="dxa"/>
            <w:gridSpan w:val="12"/>
            <w:vAlign w:val="center"/>
          </w:tcPr>
          <w:p w14:paraId="619604A4">
            <w:pPr>
              <w:spacing w:line="240" w:lineRule="auto"/>
              <w:jc w:val="center"/>
              <w:rPr>
                <w:color w:val="auto"/>
                <w:sz w:val="18"/>
                <w:szCs w:val="18"/>
                <w:highlight w:val="none"/>
              </w:rPr>
            </w:pPr>
            <w:r>
              <w:rPr>
                <w:rStyle w:val="66"/>
                <w:rFonts w:ascii="Times New Roman" w:hAnsi="Times New Roman" w:eastAsia="宋体" w:cs="Times New Roman"/>
                <w:color w:val="auto"/>
                <w:sz w:val="18"/>
                <w:szCs w:val="18"/>
                <w:highlight w:val="none"/>
              </w:rPr>
              <w:t>砂砾外包滤料的级配限度（粒径</w:t>
            </w:r>
            <w:r>
              <w:rPr>
                <w:rStyle w:val="62"/>
                <w:rFonts w:ascii="Times New Roman" w:hAnsi="Times New Roman" w:eastAsia="宋体" w:cs="Times New Roman"/>
                <w:color w:val="auto"/>
                <w:sz w:val="18"/>
                <w:szCs w:val="18"/>
                <w:highlight w:val="none"/>
              </w:rPr>
              <w:t>，mm）</w:t>
            </w:r>
          </w:p>
        </w:tc>
      </w:tr>
      <w:tr w14:paraId="7D161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9" w:type="dxa"/>
            <w:vMerge w:val="continue"/>
            <w:vAlign w:val="center"/>
          </w:tcPr>
          <w:p w14:paraId="2D711C59">
            <w:pPr>
              <w:spacing w:line="240" w:lineRule="auto"/>
              <w:jc w:val="center"/>
              <w:rPr>
                <w:color w:val="auto"/>
                <w:sz w:val="18"/>
                <w:szCs w:val="18"/>
                <w:highlight w:val="none"/>
              </w:rPr>
            </w:pPr>
          </w:p>
        </w:tc>
        <w:tc>
          <w:tcPr>
            <w:tcW w:w="4031" w:type="dxa"/>
            <w:gridSpan w:val="6"/>
            <w:vAlign w:val="center"/>
          </w:tcPr>
          <w:p w14:paraId="7A23A7CB">
            <w:pPr>
              <w:spacing w:line="240" w:lineRule="auto"/>
              <w:jc w:val="center"/>
              <w:rPr>
                <w:color w:val="auto"/>
                <w:sz w:val="18"/>
                <w:szCs w:val="18"/>
                <w:highlight w:val="none"/>
              </w:rPr>
            </w:pPr>
            <w:r>
              <w:rPr>
                <w:rStyle w:val="62"/>
                <w:rFonts w:ascii="Times New Roman" w:hAnsi="Times New Roman" w:eastAsia="宋体" w:cs="Times New Roman"/>
                <w:color w:val="auto"/>
                <w:sz w:val="18"/>
                <w:szCs w:val="18"/>
                <w:highlight w:val="none"/>
              </w:rPr>
              <w:t>下限，过筛（％）</w:t>
            </w:r>
          </w:p>
        </w:tc>
        <w:tc>
          <w:tcPr>
            <w:tcW w:w="4030" w:type="dxa"/>
            <w:gridSpan w:val="6"/>
            <w:vAlign w:val="center"/>
          </w:tcPr>
          <w:p w14:paraId="13C593EF">
            <w:pPr>
              <w:spacing w:line="240" w:lineRule="auto"/>
              <w:jc w:val="center"/>
              <w:rPr>
                <w:color w:val="auto"/>
                <w:sz w:val="18"/>
                <w:szCs w:val="18"/>
                <w:highlight w:val="none"/>
              </w:rPr>
            </w:pPr>
            <w:r>
              <w:rPr>
                <w:rStyle w:val="62"/>
                <w:rFonts w:ascii="Times New Roman" w:hAnsi="Times New Roman" w:eastAsia="宋体" w:cs="Times New Roman"/>
                <w:color w:val="auto"/>
                <w:sz w:val="18"/>
                <w:szCs w:val="18"/>
                <w:highlight w:val="none"/>
              </w:rPr>
              <w:t>下限，过筛（％）</w:t>
            </w:r>
          </w:p>
        </w:tc>
      </w:tr>
      <w:tr w14:paraId="08758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9" w:type="dxa"/>
            <w:vMerge w:val="continue"/>
            <w:vAlign w:val="center"/>
          </w:tcPr>
          <w:p w14:paraId="08627675">
            <w:pPr>
              <w:spacing w:line="240" w:lineRule="auto"/>
              <w:jc w:val="center"/>
              <w:rPr>
                <w:color w:val="auto"/>
                <w:sz w:val="18"/>
                <w:szCs w:val="18"/>
                <w:highlight w:val="none"/>
              </w:rPr>
            </w:pPr>
          </w:p>
        </w:tc>
        <w:tc>
          <w:tcPr>
            <w:tcW w:w="672" w:type="dxa"/>
            <w:vAlign w:val="center"/>
          </w:tcPr>
          <w:p w14:paraId="34CE9079">
            <w:pPr>
              <w:spacing w:line="240" w:lineRule="auto"/>
              <w:jc w:val="center"/>
              <w:rPr>
                <w:color w:val="auto"/>
                <w:sz w:val="18"/>
                <w:szCs w:val="18"/>
                <w:highlight w:val="none"/>
              </w:rPr>
            </w:pPr>
            <w:r>
              <w:rPr>
                <w:color w:val="auto"/>
                <w:sz w:val="18"/>
                <w:szCs w:val="18"/>
                <w:highlight w:val="none"/>
              </w:rPr>
              <w:t>100</w:t>
            </w:r>
          </w:p>
        </w:tc>
        <w:tc>
          <w:tcPr>
            <w:tcW w:w="672" w:type="dxa"/>
            <w:vAlign w:val="center"/>
          </w:tcPr>
          <w:p w14:paraId="6D1F5C24">
            <w:pPr>
              <w:spacing w:line="240" w:lineRule="auto"/>
              <w:jc w:val="center"/>
              <w:rPr>
                <w:color w:val="auto"/>
                <w:sz w:val="18"/>
                <w:szCs w:val="18"/>
                <w:highlight w:val="none"/>
              </w:rPr>
            </w:pPr>
            <w:r>
              <w:rPr>
                <w:color w:val="auto"/>
                <w:sz w:val="18"/>
                <w:szCs w:val="18"/>
                <w:highlight w:val="none"/>
              </w:rPr>
              <w:t>100</w:t>
            </w:r>
          </w:p>
        </w:tc>
        <w:tc>
          <w:tcPr>
            <w:tcW w:w="671" w:type="dxa"/>
            <w:vAlign w:val="center"/>
          </w:tcPr>
          <w:p w14:paraId="3FA9D24B">
            <w:pPr>
              <w:spacing w:line="240" w:lineRule="auto"/>
              <w:jc w:val="center"/>
              <w:rPr>
                <w:color w:val="auto"/>
                <w:sz w:val="18"/>
                <w:szCs w:val="18"/>
                <w:highlight w:val="none"/>
              </w:rPr>
            </w:pPr>
            <w:r>
              <w:rPr>
                <w:color w:val="auto"/>
                <w:sz w:val="18"/>
                <w:szCs w:val="18"/>
                <w:highlight w:val="none"/>
              </w:rPr>
              <w:t>100</w:t>
            </w:r>
          </w:p>
        </w:tc>
        <w:tc>
          <w:tcPr>
            <w:tcW w:w="672" w:type="dxa"/>
            <w:vAlign w:val="center"/>
          </w:tcPr>
          <w:p w14:paraId="0F221781">
            <w:pPr>
              <w:spacing w:line="240" w:lineRule="auto"/>
              <w:jc w:val="center"/>
              <w:rPr>
                <w:color w:val="auto"/>
                <w:sz w:val="18"/>
                <w:szCs w:val="18"/>
                <w:highlight w:val="none"/>
              </w:rPr>
            </w:pPr>
            <w:r>
              <w:rPr>
                <w:color w:val="auto"/>
                <w:sz w:val="18"/>
                <w:szCs w:val="18"/>
                <w:highlight w:val="none"/>
              </w:rPr>
              <w:t>100</w:t>
            </w:r>
          </w:p>
        </w:tc>
        <w:tc>
          <w:tcPr>
            <w:tcW w:w="672" w:type="dxa"/>
            <w:vAlign w:val="center"/>
          </w:tcPr>
          <w:p w14:paraId="748BEE34">
            <w:pPr>
              <w:spacing w:line="240" w:lineRule="auto"/>
              <w:jc w:val="center"/>
              <w:rPr>
                <w:color w:val="auto"/>
                <w:sz w:val="18"/>
                <w:szCs w:val="18"/>
                <w:highlight w:val="none"/>
              </w:rPr>
            </w:pPr>
            <w:r>
              <w:rPr>
                <w:color w:val="auto"/>
                <w:sz w:val="18"/>
                <w:szCs w:val="18"/>
                <w:highlight w:val="none"/>
              </w:rPr>
              <w:t>100</w:t>
            </w:r>
          </w:p>
        </w:tc>
        <w:tc>
          <w:tcPr>
            <w:tcW w:w="672" w:type="dxa"/>
            <w:vAlign w:val="center"/>
          </w:tcPr>
          <w:p w14:paraId="681A76AD">
            <w:pPr>
              <w:spacing w:line="240" w:lineRule="auto"/>
              <w:jc w:val="center"/>
              <w:rPr>
                <w:color w:val="auto"/>
                <w:sz w:val="18"/>
                <w:szCs w:val="18"/>
                <w:highlight w:val="none"/>
              </w:rPr>
            </w:pPr>
            <w:r>
              <w:rPr>
                <w:color w:val="auto"/>
                <w:sz w:val="18"/>
                <w:szCs w:val="18"/>
                <w:highlight w:val="none"/>
              </w:rPr>
              <w:t>100</w:t>
            </w:r>
          </w:p>
        </w:tc>
        <w:tc>
          <w:tcPr>
            <w:tcW w:w="672" w:type="dxa"/>
            <w:vAlign w:val="center"/>
          </w:tcPr>
          <w:p w14:paraId="17A5996A">
            <w:pPr>
              <w:spacing w:line="240" w:lineRule="auto"/>
              <w:jc w:val="center"/>
              <w:rPr>
                <w:color w:val="auto"/>
                <w:sz w:val="18"/>
                <w:szCs w:val="18"/>
                <w:highlight w:val="none"/>
              </w:rPr>
            </w:pPr>
            <w:r>
              <w:rPr>
                <w:color w:val="auto"/>
                <w:sz w:val="18"/>
                <w:szCs w:val="18"/>
                <w:highlight w:val="none"/>
              </w:rPr>
              <w:t>100</w:t>
            </w:r>
          </w:p>
        </w:tc>
        <w:tc>
          <w:tcPr>
            <w:tcW w:w="671" w:type="dxa"/>
            <w:vAlign w:val="center"/>
          </w:tcPr>
          <w:p w14:paraId="17930FA1">
            <w:pPr>
              <w:spacing w:line="240" w:lineRule="auto"/>
              <w:jc w:val="center"/>
              <w:rPr>
                <w:color w:val="auto"/>
                <w:sz w:val="18"/>
                <w:szCs w:val="18"/>
                <w:highlight w:val="none"/>
              </w:rPr>
            </w:pPr>
            <w:r>
              <w:rPr>
                <w:color w:val="auto"/>
                <w:sz w:val="18"/>
                <w:szCs w:val="18"/>
                <w:highlight w:val="none"/>
              </w:rPr>
              <w:t>100</w:t>
            </w:r>
          </w:p>
        </w:tc>
        <w:tc>
          <w:tcPr>
            <w:tcW w:w="672" w:type="dxa"/>
            <w:vAlign w:val="center"/>
          </w:tcPr>
          <w:p w14:paraId="4530D50A">
            <w:pPr>
              <w:spacing w:line="240" w:lineRule="auto"/>
              <w:jc w:val="center"/>
              <w:rPr>
                <w:color w:val="auto"/>
                <w:sz w:val="18"/>
                <w:szCs w:val="18"/>
                <w:highlight w:val="none"/>
              </w:rPr>
            </w:pPr>
            <w:r>
              <w:rPr>
                <w:color w:val="auto"/>
                <w:sz w:val="18"/>
                <w:szCs w:val="18"/>
                <w:highlight w:val="none"/>
              </w:rPr>
              <w:t>100</w:t>
            </w:r>
          </w:p>
        </w:tc>
        <w:tc>
          <w:tcPr>
            <w:tcW w:w="672" w:type="dxa"/>
            <w:vAlign w:val="center"/>
          </w:tcPr>
          <w:p w14:paraId="56527E97">
            <w:pPr>
              <w:spacing w:line="240" w:lineRule="auto"/>
              <w:jc w:val="center"/>
              <w:rPr>
                <w:color w:val="auto"/>
                <w:sz w:val="18"/>
                <w:szCs w:val="18"/>
                <w:highlight w:val="none"/>
              </w:rPr>
            </w:pPr>
            <w:r>
              <w:rPr>
                <w:color w:val="auto"/>
                <w:sz w:val="18"/>
                <w:szCs w:val="18"/>
                <w:highlight w:val="none"/>
              </w:rPr>
              <w:t>100</w:t>
            </w:r>
          </w:p>
        </w:tc>
        <w:tc>
          <w:tcPr>
            <w:tcW w:w="672" w:type="dxa"/>
            <w:vAlign w:val="center"/>
          </w:tcPr>
          <w:p w14:paraId="06D420D3">
            <w:pPr>
              <w:spacing w:line="240" w:lineRule="auto"/>
              <w:jc w:val="center"/>
              <w:rPr>
                <w:color w:val="auto"/>
                <w:sz w:val="18"/>
                <w:szCs w:val="18"/>
                <w:highlight w:val="none"/>
              </w:rPr>
            </w:pPr>
            <w:r>
              <w:rPr>
                <w:color w:val="auto"/>
                <w:sz w:val="18"/>
                <w:szCs w:val="18"/>
                <w:highlight w:val="none"/>
              </w:rPr>
              <w:t>100</w:t>
            </w:r>
          </w:p>
        </w:tc>
        <w:tc>
          <w:tcPr>
            <w:tcW w:w="671" w:type="dxa"/>
            <w:vAlign w:val="center"/>
          </w:tcPr>
          <w:p w14:paraId="674868D5">
            <w:pPr>
              <w:spacing w:line="240" w:lineRule="auto"/>
              <w:jc w:val="center"/>
              <w:rPr>
                <w:color w:val="auto"/>
                <w:sz w:val="18"/>
                <w:szCs w:val="18"/>
                <w:highlight w:val="none"/>
              </w:rPr>
            </w:pPr>
            <w:r>
              <w:rPr>
                <w:color w:val="auto"/>
                <w:sz w:val="18"/>
                <w:szCs w:val="18"/>
                <w:highlight w:val="none"/>
              </w:rPr>
              <w:t>100</w:t>
            </w:r>
          </w:p>
        </w:tc>
      </w:tr>
      <w:tr w14:paraId="239FB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9" w:type="dxa"/>
            <w:vAlign w:val="center"/>
          </w:tcPr>
          <w:p w14:paraId="2320ED8F">
            <w:pPr>
              <w:spacing w:line="240" w:lineRule="auto"/>
              <w:jc w:val="center"/>
              <w:rPr>
                <w:color w:val="auto"/>
                <w:sz w:val="18"/>
                <w:szCs w:val="18"/>
                <w:highlight w:val="none"/>
              </w:rPr>
            </w:pPr>
            <w:r>
              <w:rPr>
                <w:color w:val="auto"/>
                <w:sz w:val="18"/>
                <w:szCs w:val="18"/>
                <w:highlight w:val="none"/>
              </w:rPr>
              <w:t>0.02</w:t>
            </w:r>
            <w:r>
              <w:rPr>
                <w:color w:val="auto"/>
                <w:kern w:val="0"/>
                <w:sz w:val="18"/>
                <w:szCs w:val="18"/>
                <w:highlight w:val="none"/>
              </w:rPr>
              <w:t>（</w:t>
            </w:r>
            <w:r>
              <w:rPr>
                <w:color w:val="auto"/>
                <w:sz w:val="18"/>
                <w:szCs w:val="18"/>
                <w:highlight w:val="none"/>
              </w:rPr>
              <w:t>0.05</w:t>
            </w:r>
          </w:p>
        </w:tc>
        <w:tc>
          <w:tcPr>
            <w:tcW w:w="672" w:type="dxa"/>
            <w:vAlign w:val="center"/>
          </w:tcPr>
          <w:p w14:paraId="29441A67">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3AD157D6">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3209B751">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637D0057">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198E71C4">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565FC563">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42D051E4">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06A49937">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3B1CA676">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4EAF7AA3">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5B70C9C7">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32D531ED">
            <w:pPr>
              <w:spacing w:line="240" w:lineRule="auto"/>
              <w:jc w:val="center"/>
              <w:rPr>
                <w:color w:val="auto"/>
                <w:sz w:val="18"/>
                <w:szCs w:val="18"/>
                <w:highlight w:val="none"/>
              </w:rPr>
            </w:pPr>
            <w:r>
              <w:rPr>
                <w:color w:val="auto"/>
                <w:sz w:val="18"/>
                <w:szCs w:val="18"/>
                <w:highlight w:val="none"/>
              </w:rPr>
              <w:t>9.52</w:t>
            </w:r>
          </w:p>
        </w:tc>
      </w:tr>
      <w:tr w14:paraId="75F3D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9" w:type="dxa"/>
            <w:vAlign w:val="center"/>
          </w:tcPr>
          <w:p w14:paraId="447F03CA">
            <w:pPr>
              <w:spacing w:line="240" w:lineRule="auto"/>
              <w:jc w:val="center"/>
              <w:rPr>
                <w:color w:val="auto"/>
                <w:sz w:val="18"/>
                <w:szCs w:val="18"/>
                <w:highlight w:val="none"/>
              </w:rPr>
            </w:pPr>
            <w:r>
              <w:rPr>
                <w:color w:val="auto"/>
                <w:sz w:val="18"/>
                <w:szCs w:val="18"/>
                <w:highlight w:val="none"/>
              </w:rPr>
              <w:t>0.05</w:t>
            </w:r>
            <w:r>
              <w:rPr>
                <w:color w:val="auto"/>
                <w:kern w:val="0"/>
                <w:sz w:val="18"/>
                <w:szCs w:val="18"/>
                <w:highlight w:val="none"/>
              </w:rPr>
              <w:t>（</w:t>
            </w:r>
            <w:r>
              <w:rPr>
                <w:color w:val="auto"/>
                <w:sz w:val="18"/>
                <w:szCs w:val="18"/>
                <w:highlight w:val="none"/>
              </w:rPr>
              <w:t>0.10</w:t>
            </w:r>
          </w:p>
        </w:tc>
        <w:tc>
          <w:tcPr>
            <w:tcW w:w="672" w:type="dxa"/>
            <w:vAlign w:val="center"/>
          </w:tcPr>
          <w:p w14:paraId="7F0458BE">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3BA7C93C">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4953E4E1">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0FAD0A28">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2D61C702">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056C588E">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0D49255F">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65C3237A">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357B3552">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58676E40">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67260DC2">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64E43E19">
            <w:pPr>
              <w:spacing w:line="240" w:lineRule="auto"/>
              <w:jc w:val="center"/>
              <w:rPr>
                <w:color w:val="auto"/>
                <w:sz w:val="18"/>
                <w:szCs w:val="18"/>
                <w:highlight w:val="none"/>
              </w:rPr>
            </w:pPr>
            <w:r>
              <w:rPr>
                <w:color w:val="auto"/>
                <w:sz w:val="18"/>
                <w:szCs w:val="18"/>
                <w:highlight w:val="none"/>
              </w:rPr>
              <w:t>9.52</w:t>
            </w:r>
          </w:p>
        </w:tc>
      </w:tr>
      <w:tr w14:paraId="56FAD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9" w:type="dxa"/>
            <w:vAlign w:val="center"/>
          </w:tcPr>
          <w:p w14:paraId="5412B2A1">
            <w:pPr>
              <w:spacing w:line="240" w:lineRule="auto"/>
              <w:jc w:val="center"/>
              <w:rPr>
                <w:color w:val="auto"/>
                <w:sz w:val="18"/>
                <w:szCs w:val="18"/>
                <w:highlight w:val="none"/>
              </w:rPr>
            </w:pPr>
            <w:r>
              <w:rPr>
                <w:color w:val="auto"/>
                <w:sz w:val="18"/>
                <w:szCs w:val="18"/>
                <w:highlight w:val="none"/>
              </w:rPr>
              <w:t>0.10</w:t>
            </w:r>
            <w:r>
              <w:rPr>
                <w:color w:val="auto"/>
                <w:kern w:val="0"/>
                <w:sz w:val="18"/>
                <w:szCs w:val="18"/>
                <w:highlight w:val="none"/>
              </w:rPr>
              <w:t>（</w:t>
            </w:r>
            <w:r>
              <w:rPr>
                <w:color w:val="auto"/>
                <w:sz w:val="18"/>
                <w:szCs w:val="18"/>
                <w:highlight w:val="none"/>
              </w:rPr>
              <w:t>0.25</w:t>
            </w:r>
          </w:p>
        </w:tc>
        <w:tc>
          <w:tcPr>
            <w:tcW w:w="672" w:type="dxa"/>
            <w:vAlign w:val="center"/>
          </w:tcPr>
          <w:p w14:paraId="35260EAE">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2E7CE134">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077FB493">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1381E7F9">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04A7CC11">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21FF2DA3">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79056DBB">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2BD3CE76">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07A67877">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6FEFFDE0">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10D3DB4F">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02D98118">
            <w:pPr>
              <w:spacing w:line="240" w:lineRule="auto"/>
              <w:jc w:val="center"/>
              <w:rPr>
                <w:color w:val="auto"/>
                <w:sz w:val="18"/>
                <w:szCs w:val="18"/>
                <w:highlight w:val="none"/>
              </w:rPr>
            </w:pPr>
            <w:r>
              <w:rPr>
                <w:color w:val="auto"/>
                <w:sz w:val="18"/>
                <w:szCs w:val="18"/>
                <w:highlight w:val="none"/>
              </w:rPr>
              <w:t>9.52</w:t>
            </w:r>
          </w:p>
        </w:tc>
      </w:tr>
      <w:tr w14:paraId="26333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9" w:type="dxa"/>
            <w:vAlign w:val="center"/>
          </w:tcPr>
          <w:p w14:paraId="562571CE">
            <w:pPr>
              <w:spacing w:line="240" w:lineRule="auto"/>
              <w:jc w:val="center"/>
              <w:rPr>
                <w:color w:val="auto"/>
                <w:sz w:val="18"/>
                <w:szCs w:val="18"/>
                <w:highlight w:val="none"/>
              </w:rPr>
            </w:pPr>
            <w:r>
              <w:rPr>
                <w:color w:val="auto"/>
                <w:sz w:val="18"/>
                <w:szCs w:val="18"/>
                <w:highlight w:val="none"/>
              </w:rPr>
              <w:t>0.25</w:t>
            </w:r>
            <w:r>
              <w:rPr>
                <w:color w:val="auto"/>
                <w:kern w:val="0"/>
                <w:sz w:val="18"/>
                <w:szCs w:val="18"/>
                <w:highlight w:val="none"/>
              </w:rPr>
              <w:t>（</w:t>
            </w:r>
            <w:r>
              <w:rPr>
                <w:color w:val="auto"/>
                <w:sz w:val="18"/>
                <w:szCs w:val="18"/>
                <w:highlight w:val="none"/>
              </w:rPr>
              <w:t>1.00</w:t>
            </w:r>
          </w:p>
        </w:tc>
        <w:tc>
          <w:tcPr>
            <w:tcW w:w="672" w:type="dxa"/>
            <w:vAlign w:val="center"/>
          </w:tcPr>
          <w:p w14:paraId="35742D28">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00ACABD4">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550545DA">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538DA15E">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7D2167BF">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76FAA128">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514425B4">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4C686030">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1455ED9B">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682ABA08">
            <w:pPr>
              <w:spacing w:line="240" w:lineRule="auto"/>
              <w:jc w:val="center"/>
              <w:rPr>
                <w:color w:val="auto"/>
                <w:sz w:val="18"/>
                <w:szCs w:val="18"/>
                <w:highlight w:val="none"/>
              </w:rPr>
            </w:pPr>
            <w:r>
              <w:rPr>
                <w:color w:val="auto"/>
                <w:sz w:val="18"/>
                <w:szCs w:val="18"/>
                <w:highlight w:val="none"/>
              </w:rPr>
              <w:t>9.52</w:t>
            </w:r>
          </w:p>
        </w:tc>
        <w:tc>
          <w:tcPr>
            <w:tcW w:w="672" w:type="dxa"/>
            <w:vAlign w:val="center"/>
          </w:tcPr>
          <w:p w14:paraId="53D4D8F8">
            <w:pPr>
              <w:spacing w:line="240" w:lineRule="auto"/>
              <w:jc w:val="center"/>
              <w:rPr>
                <w:color w:val="auto"/>
                <w:sz w:val="18"/>
                <w:szCs w:val="18"/>
                <w:highlight w:val="none"/>
              </w:rPr>
            </w:pPr>
            <w:r>
              <w:rPr>
                <w:color w:val="auto"/>
                <w:sz w:val="18"/>
                <w:szCs w:val="18"/>
                <w:highlight w:val="none"/>
              </w:rPr>
              <w:t>9.52</w:t>
            </w:r>
          </w:p>
        </w:tc>
        <w:tc>
          <w:tcPr>
            <w:tcW w:w="671" w:type="dxa"/>
            <w:vAlign w:val="center"/>
          </w:tcPr>
          <w:p w14:paraId="5E37A894">
            <w:pPr>
              <w:spacing w:line="240" w:lineRule="auto"/>
              <w:jc w:val="center"/>
              <w:rPr>
                <w:color w:val="auto"/>
                <w:sz w:val="18"/>
                <w:szCs w:val="18"/>
                <w:highlight w:val="none"/>
              </w:rPr>
            </w:pPr>
            <w:r>
              <w:rPr>
                <w:color w:val="auto"/>
                <w:sz w:val="18"/>
                <w:szCs w:val="18"/>
                <w:highlight w:val="none"/>
              </w:rPr>
              <w:t>9.52</w:t>
            </w:r>
          </w:p>
        </w:tc>
      </w:tr>
      <w:tr w14:paraId="0316F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9570" w:type="dxa"/>
            <w:gridSpan w:val="13"/>
            <w:vAlign w:val="center"/>
          </w:tcPr>
          <w:p w14:paraId="36DC04BA">
            <w:pPr>
              <w:spacing w:line="240" w:lineRule="auto"/>
              <w:jc w:val="left"/>
              <w:rPr>
                <w:color w:val="auto"/>
                <w:sz w:val="18"/>
                <w:szCs w:val="18"/>
                <w:highlight w:val="none"/>
              </w:rPr>
            </w:pPr>
            <w:r>
              <w:rPr>
                <w:b/>
                <w:bCs/>
                <w:color w:val="auto"/>
                <w:kern w:val="0"/>
                <w:sz w:val="18"/>
                <w:szCs w:val="18"/>
                <w:highlight w:val="none"/>
              </w:rPr>
              <w:t>注</w:t>
            </w:r>
            <w:r>
              <w:rPr>
                <w:color w:val="auto"/>
                <w:kern w:val="0"/>
                <w:sz w:val="18"/>
                <w:szCs w:val="18"/>
                <w:highlight w:val="none"/>
              </w:rPr>
              <w:t>：</w:t>
            </w:r>
            <w:r>
              <w:rPr>
                <w:color w:val="auto"/>
                <w:kern w:val="0"/>
                <w:position w:val="-12"/>
                <w:sz w:val="18"/>
                <w:szCs w:val="18"/>
                <w:highlight w:val="none"/>
              </w:rPr>
              <w:object>
                <v:shape id="_x0000_i1063" o:spt="75" type="#_x0000_t75" style="height:14.15pt;width:13.35pt;" o:ole="t" filled="f" o:preferrelative="t" stroked="f" coordsize="21600,21600">
                  <v:path/>
                  <v:fill on="f" focussize="0,0"/>
                  <v:stroke on="f"/>
                  <v:imagedata r:id="rId99" o:title=""/>
                  <o:lock v:ext="edit" aspectratio="t"/>
                  <w10:wrap type="none"/>
                  <w10:anchorlock/>
                </v:shape>
                <o:OLEObject Type="Embed" ProgID="Equation.DSMT4" ShapeID="_x0000_i1063" DrawAspect="Content" ObjectID="_1468075764" r:id="rId98">
                  <o:LockedField>false</o:LockedField>
                </o:OLEObject>
              </w:object>
            </w:r>
            <w:r>
              <w:rPr>
                <w:color w:val="auto"/>
                <w:kern w:val="0"/>
                <w:sz w:val="18"/>
                <w:szCs w:val="18"/>
                <w:highlight w:val="none"/>
              </w:rPr>
              <w:t>指管周土壤粒径分布曲线上通过60%点处的粒径；上限过筛5%栏中系插补值</w:t>
            </w:r>
            <w:r>
              <w:rPr>
                <w:color w:val="auto"/>
                <w:sz w:val="18"/>
                <w:szCs w:val="18"/>
                <w:highlight w:val="none"/>
              </w:rPr>
              <w:t>。</w:t>
            </w:r>
          </w:p>
        </w:tc>
      </w:tr>
    </w:tbl>
    <w:p w14:paraId="65534B08">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auto"/>
        <w:rPr>
          <w:rFonts w:hint="eastAsia" w:ascii="Times New Roman"/>
          <w:color w:val="auto"/>
          <w:szCs w:val="22"/>
          <w:highlight w:val="none"/>
        </w:rPr>
      </w:pPr>
      <w:r>
        <w:rPr>
          <w:rFonts w:ascii="Times New Roman"/>
          <w:color w:val="auto"/>
          <w:szCs w:val="22"/>
          <w:highlight w:val="none"/>
        </w:rPr>
        <w:t>6.</w:t>
      </w:r>
      <w:r>
        <w:rPr>
          <w:rFonts w:hint="eastAsia" w:ascii="Times New Roman"/>
          <w:color w:val="auto"/>
          <w:szCs w:val="22"/>
          <w:highlight w:val="none"/>
          <w:lang w:val="en-US" w:eastAsia="zh-CN"/>
        </w:rPr>
        <w:t>4</w:t>
      </w:r>
      <w:r>
        <w:rPr>
          <w:rFonts w:ascii="Times New Roman"/>
          <w:color w:val="auto"/>
          <w:szCs w:val="22"/>
          <w:highlight w:val="none"/>
        </w:rPr>
        <w:t>.3 用做外包滤料的土工织物可按下式进行初步选择，再通过试验确定</w:t>
      </w:r>
      <w:r>
        <w:rPr>
          <w:rFonts w:hint="eastAsia" w:ascii="Times New Roman"/>
          <w:color w:val="auto"/>
          <w:szCs w:val="22"/>
          <w:highlight w:val="none"/>
        </w:rPr>
        <w:t>：</w:t>
      </w:r>
    </w:p>
    <w:p w14:paraId="04674C3C">
      <w:pPr>
        <w:jc w:val="center"/>
        <w:rPr>
          <w:rFonts w:hint="eastAsia"/>
          <w:color w:val="auto"/>
          <w:szCs w:val="22"/>
          <w:highlight w:val="none"/>
        </w:rPr>
      </w:pPr>
      <w:r>
        <w:rPr>
          <w:rFonts w:hint="eastAsia"/>
          <w:color w:val="auto"/>
          <w:position w:val="-12"/>
          <w:szCs w:val="22"/>
          <w:highlight w:val="none"/>
        </w:rPr>
        <w:object>
          <v:shape id="_x0000_i1064" o:spt="75" type="#_x0000_t75" style="height:17pt;width:52pt;" o:ole="t" filled="f" o:preferrelative="t" stroked="f" coordsize="21600,21600">
            <v:path/>
            <v:fill on="f" focussize="0,0"/>
            <v:stroke on="f"/>
            <v:imagedata r:id="rId101" o:title=""/>
            <o:lock v:ext="edit" aspectratio="t"/>
            <w10:wrap type="none"/>
            <w10:anchorlock/>
          </v:shape>
          <o:OLEObject Type="Embed" ProgID="Equation.KSEE3" ShapeID="_x0000_i1064" DrawAspect="Content" ObjectID="_1468075765" r:id="rId100">
            <o:LockedField>false</o:LockedField>
          </o:OLEObject>
        </w:object>
      </w:r>
    </w:p>
    <w:p w14:paraId="63D5D154">
      <w:pPr>
        <w:pStyle w:val="25"/>
        <w:keepNext w:val="0"/>
        <w:keepLines w:val="0"/>
        <w:pageBreakBefore w:val="0"/>
        <w:widowControl/>
        <w:kinsoku/>
        <w:wordWrap/>
        <w:overflowPunct/>
        <w:topLinePunct w:val="0"/>
        <w:autoSpaceDE w:val="0"/>
        <w:autoSpaceDN w:val="0"/>
        <w:bidi w:val="0"/>
        <w:adjustRightInd/>
        <w:snapToGrid/>
        <w:spacing w:line="240" w:lineRule="auto"/>
        <w:textAlignment w:val="center"/>
        <w:rPr>
          <w:rFonts w:ascii="Times New Roman"/>
          <w:color w:val="auto"/>
          <w:szCs w:val="22"/>
          <w:highlight w:val="none"/>
        </w:rPr>
      </w:pPr>
      <w:r>
        <w:rPr>
          <w:rFonts w:ascii="Times New Roman"/>
          <w:color w:val="auto"/>
          <w:szCs w:val="22"/>
          <w:highlight w:val="none"/>
        </w:rPr>
        <w:t>式中：</w:t>
      </w:r>
    </w:p>
    <w:p w14:paraId="6B766D6A">
      <w:pPr>
        <w:pStyle w:val="25"/>
        <w:keepNext w:val="0"/>
        <w:keepLines w:val="0"/>
        <w:pageBreakBefore w:val="0"/>
        <w:widowControl/>
        <w:kinsoku/>
        <w:wordWrap/>
        <w:overflowPunct/>
        <w:topLinePunct w:val="0"/>
        <w:autoSpaceDE w:val="0"/>
        <w:autoSpaceDN w:val="0"/>
        <w:bidi w:val="0"/>
        <w:adjustRightInd/>
        <w:snapToGrid/>
        <w:spacing w:line="240" w:lineRule="auto"/>
        <w:textAlignment w:val="center"/>
        <w:rPr>
          <w:rFonts w:ascii="Times New Roman"/>
          <w:color w:val="auto"/>
          <w:szCs w:val="22"/>
          <w:highlight w:val="none"/>
        </w:rPr>
      </w:pPr>
      <w:r>
        <w:rPr>
          <w:rFonts w:hint="eastAsia" w:ascii="Times New Roman"/>
          <w:i/>
          <w:iCs/>
          <w:color w:val="auto"/>
          <w:szCs w:val="22"/>
          <w:highlight w:val="none"/>
          <w:lang w:val="en-US" w:eastAsia="zh-CN"/>
        </w:rPr>
        <w:t>O</w:t>
      </w:r>
      <w:r>
        <w:rPr>
          <w:rFonts w:hint="eastAsia" w:ascii="Times New Roman"/>
          <w:color w:val="auto"/>
          <w:szCs w:val="22"/>
          <w:highlight w:val="none"/>
          <w:vertAlign w:val="subscript"/>
          <w:lang w:val="en-US" w:eastAsia="zh-CN"/>
        </w:rPr>
        <w:t>90</w:t>
      </w:r>
      <w:r>
        <w:rPr>
          <w:rFonts w:ascii="Times New Roman"/>
          <w:color w:val="auto"/>
          <w:szCs w:val="22"/>
          <w:highlight w:val="none"/>
        </w:rPr>
        <w:t>——土工织物有效孔径，即在织物孔径分布曲线上，小于该孔径的累积百分数占90%的织物孔径，mm；</w:t>
      </w:r>
    </w:p>
    <w:p w14:paraId="75E3E2D5">
      <w:pPr>
        <w:pStyle w:val="25"/>
        <w:keepNext w:val="0"/>
        <w:keepLines w:val="0"/>
        <w:pageBreakBefore w:val="0"/>
        <w:widowControl/>
        <w:kinsoku/>
        <w:wordWrap/>
        <w:overflowPunct/>
        <w:topLinePunct w:val="0"/>
        <w:autoSpaceDE w:val="0"/>
        <w:autoSpaceDN w:val="0"/>
        <w:bidi w:val="0"/>
        <w:adjustRightInd/>
        <w:snapToGrid/>
        <w:spacing w:line="240" w:lineRule="auto"/>
        <w:textAlignment w:val="center"/>
        <w:rPr>
          <w:rFonts w:ascii="Times New Roman"/>
          <w:color w:val="auto"/>
          <w:szCs w:val="22"/>
          <w:highlight w:val="none"/>
        </w:rPr>
      </w:pPr>
      <w:r>
        <w:rPr>
          <w:rFonts w:hint="eastAsia" w:ascii="Times New Roman"/>
          <w:i/>
          <w:iCs/>
          <w:color w:val="auto"/>
          <w:szCs w:val="22"/>
          <w:highlight w:val="none"/>
          <w:lang w:val="en-US" w:eastAsia="zh-CN"/>
        </w:rPr>
        <w:t>d</w:t>
      </w:r>
      <w:r>
        <w:rPr>
          <w:rFonts w:hint="eastAsia" w:ascii="Times New Roman"/>
          <w:color w:val="auto"/>
          <w:szCs w:val="22"/>
          <w:highlight w:val="none"/>
          <w:vertAlign w:val="subscript"/>
          <w:lang w:val="en-US" w:eastAsia="zh-CN"/>
        </w:rPr>
        <w:t>85</w:t>
      </w:r>
      <w:r>
        <w:rPr>
          <w:rFonts w:ascii="Times New Roman"/>
          <w:color w:val="auto"/>
          <w:szCs w:val="22"/>
          <w:highlight w:val="none"/>
        </w:rPr>
        <w:t>——管周土壤粒径分布曲线上通过85%点处的粒径，mm。</w:t>
      </w:r>
    </w:p>
    <w:p w14:paraId="45A6B8EB">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rPr>
          <w:rFonts w:hint="eastAsia" w:ascii="Times New Roman"/>
          <w:color w:val="auto"/>
          <w:szCs w:val="21"/>
          <w:highlight w:val="none"/>
        </w:rPr>
      </w:pPr>
      <w:r>
        <w:rPr>
          <w:rFonts w:hint="eastAsia" w:ascii="宋体" w:hAnsi="宋体" w:eastAsia="宋体" w:cs="宋体"/>
          <w:color w:val="auto"/>
          <w:szCs w:val="22"/>
          <w:highlight w:val="none"/>
        </w:rPr>
        <w:t>6.5.1</w:t>
      </w:r>
      <w:r>
        <w:rPr>
          <w:rFonts w:hint="eastAsia" w:ascii="Times New Roman"/>
          <w:color w:val="auto"/>
          <w:szCs w:val="22"/>
          <w:highlight w:val="none"/>
        </w:rPr>
        <w:t xml:space="preserve"> </w:t>
      </w:r>
      <w:r>
        <w:rPr>
          <w:rFonts w:hint="eastAsia" w:ascii="Times New Roman"/>
          <w:color w:val="auto"/>
          <w:szCs w:val="22"/>
          <w:highlight w:val="none"/>
          <w:lang w:val="en-US" w:eastAsia="zh-CN"/>
        </w:rPr>
        <w:t>集水管的抗压强度应予以验算校核。</w:t>
      </w:r>
      <w:r>
        <w:rPr>
          <w:rFonts w:ascii="Times New Roman"/>
          <w:color w:val="auto"/>
          <w:szCs w:val="21"/>
          <w:highlight w:val="none"/>
        </w:rPr>
        <w:t>排水暗管埋设于不同深度和宽度的管沟中，其回填土料作用于管体的荷载可用马斯墩公式确定</w:t>
      </w:r>
      <w:r>
        <w:rPr>
          <w:rFonts w:hint="eastAsia" w:ascii="Times New Roman"/>
          <w:color w:val="auto"/>
          <w:szCs w:val="21"/>
          <w:highlight w:val="none"/>
        </w:rPr>
        <w:t>：</w:t>
      </w:r>
    </w:p>
    <w:p w14:paraId="71E12140">
      <w:pPr>
        <w:pStyle w:val="25"/>
        <w:ind w:firstLine="0" w:firstLineChars="0"/>
        <w:jc w:val="center"/>
        <w:textAlignment w:val="center"/>
        <w:rPr>
          <w:rFonts w:ascii="Times New Roman"/>
          <w:color w:val="auto"/>
          <w:szCs w:val="22"/>
          <w:highlight w:val="none"/>
        </w:rPr>
      </w:pPr>
      <w:r>
        <w:rPr>
          <w:rFonts w:hint="eastAsia" w:ascii="Times New Roman"/>
          <w:color w:val="auto"/>
          <w:szCs w:val="22"/>
          <w:highlight w:val="none"/>
        </w:rPr>
        <w:t xml:space="preserve">           </w:t>
      </w:r>
      <w:r>
        <w:rPr>
          <w:rFonts w:ascii="Times New Roman"/>
          <w:color w:val="auto"/>
          <w:szCs w:val="22"/>
          <w:highlight w:val="none"/>
        </w:rPr>
        <w:object>
          <v:shape id="_x0000_i1065" o:spt="75" type="#_x0000_t75" style="height:17pt;width:54.55pt;" o:ole="t" filled="f" o:preferrelative="t" stroked="f" coordsize="21600,21600">
            <v:path/>
            <v:fill on="f" focussize="0,0"/>
            <v:stroke on="f"/>
            <v:imagedata r:id="rId103" o:title=""/>
            <o:lock v:ext="edit" aspectratio="t"/>
            <w10:wrap type="none"/>
            <w10:anchorlock/>
          </v:shape>
          <o:OLEObject Type="Embed" ProgID="Equation.DSMT4" ShapeID="_x0000_i1065" DrawAspect="Content" ObjectID="_1468075766" r:id="rId102">
            <o:LockedField>false</o:LockedField>
          </o:OLEObject>
        </w:object>
      </w:r>
      <w:r>
        <w:rPr>
          <w:rFonts w:ascii="Times New Roman"/>
          <w:color w:val="auto"/>
          <w:szCs w:val="22"/>
          <w:highlight w:val="none"/>
        </w:rPr>
        <w:t xml:space="preserve">   （适用于刚性管）</w:t>
      </w:r>
    </w:p>
    <w:p w14:paraId="35C736FC">
      <w:pPr>
        <w:pStyle w:val="25"/>
        <w:ind w:firstLine="0" w:firstLineChars="0"/>
        <w:jc w:val="center"/>
        <w:textAlignment w:val="center"/>
        <w:rPr>
          <w:rFonts w:ascii="Times New Roman"/>
          <w:color w:val="auto"/>
          <w:szCs w:val="21"/>
          <w:highlight w:val="none"/>
        </w:rPr>
      </w:pPr>
      <w:r>
        <w:rPr>
          <w:rFonts w:hint="eastAsia" w:ascii="Times New Roman"/>
          <w:color w:val="auto"/>
          <w:szCs w:val="22"/>
          <w:highlight w:val="none"/>
        </w:rPr>
        <w:t xml:space="preserve">             </w:t>
      </w:r>
      <w:r>
        <w:rPr>
          <w:rFonts w:ascii="Times New Roman"/>
          <w:color w:val="auto"/>
          <w:szCs w:val="22"/>
          <w:highlight w:val="none"/>
        </w:rPr>
        <w:object>
          <v:shape id="_x0000_i1066" o:spt="75" type="#_x0000_t75" style="height:16.45pt;width:64.9pt;" o:ole="t" filled="f" o:preferrelative="t" stroked="f" coordsize="21600,21600">
            <v:path/>
            <v:fill on="f" focussize="0,0"/>
            <v:stroke on="f"/>
            <v:imagedata r:id="rId105" o:title=""/>
            <o:lock v:ext="edit" aspectratio="t"/>
            <w10:wrap type="none"/>
            <w10:anchorlock/>
          </v:shape>
          <o:OLEObject Type="Embed" ProgID="Equation.DSMT4" ShapeID="_x0000_i1066" DrawAspect="Content" ObjectID="_1468075767" r:id="rId104">
            <o:LockedField>false</o:LockedField>
          </o:OLEObject>
        </w:object>
      </w:r>
      <w:r>
        <w:rPr>
          <w:rFonts w:ascii="Times New Roman"/>
          <w:color w:val="auto"/>
          <w:szCs w:val="22"/>
          <w:highlight w:val="none"/>
        </w:rPr>
        <w:t xml:space="preserve">  （适用于刚性管）</w:t>
      </w:r>
    </w:p>
    <w:p w14:paraId="1548F113">
      <w:pPr>
        <w:pStyle w:val="25"/>
        <w:keepNext w:val="0"/>
        <w:keepLines w:val="0"/>
        <w:pageBreakBefore w:val="0"/>
        <w:widowControl/>
        <w:kinsoku/>
        <w:wordWrap/>
        <w:overflowPunct/>
        <w:topLinePunct w:val="0"/>
        <w:autoSpaceDE w:val="0"/>
        <w:autoSpaceDN w:val="0"/>
        <w:bidi w:val="0"/>
        <w:adjustRightInd/>
        <w:snapToGrid/>
        <w:spacing w:line="240" w:lineRule="auto"/>
        <w:textAlignment w:val="center"/>
        <w:rPr>
          <w:rFonts w:ascii="Times New Roman"/>
          <w:color w:val="auto"/>
          <w:szCs w:val="22"/>
          <w:highlight w:val="none"/>
        </w:rPr>
      </w:pPr>
      <w:r>
        <w:rPr>
          <w:rFonts w:ascii="Times New Roman"/>
          <w:color w:val="auto"/>
          <w:szCs w:val="22"/>
          <w:highlight w:val="none"/>
        </w:rPr>
        <w:t>式中</w:t>
      </w:r>
      <w:r>
        <w:rPr>
          <w:rFonts w:hint="eastAsia" w:ascii="Times New Roman"/>
          <w:color w:val="auto"/>
          <w:szCs w:val="22"/>
          <w:highlight w:val="none"/>
        </w:rPr>
        <w:t>：</w:t>
      </w:r>
      <w:r>
        <w:rPr>
          <w:rFonts w:ascii="Times New Roman"/>
          <w:color w:val="auto"/>
          <w:szCs w:val="22"/>
          <w:highlight w:val="none"/>
        </w:rPr>
        <w:t xml:space="preserve">  </w:t>
      </w:r>
      <w:r>
        <w:rPr>
          <w:rFonts w:hint="eastAsia" w:ascii="Times New Roman"/>
          <w:i/>
          <w:iCs/>
          <w:color w:val="auto"/>
          <w:szCs w:val="22"/>
          <w:highlight w:val="none"/>
          <w:lang w:val="en-US" w:eastAsia="zh-CN"/>
        </w:rPr>
        <w:t>W</w:t>
      </w:r>
      <w:r>
        <w:rPr>
          <w:rFonts w:hint="eastAsia" w:ascii="Times New Roman"/>
          <w:color w:val="auto"/>
          <w:szCs w:val="22"/>
          <w:highlight w:val="none"/>
          <w:vertAlign w:val="subscript"/>
          <w:lang w:val="en-US" w:eastAsia="zh-CN"/>
        </w:rPr>
        <w:t>c</w:t>
      </w:r>
      <w:r>
        <w:rPr>
          <w:rFonts w:ascii="Times New Roman"/>
          <w:color w:val="auto"/>
          <w:szCs w:val="22"/>
          <w:highlight w:val="none"/>
        </w:rPr>
        <w:t>——管上荷载，</w:t>
      </w:r>
      <w:r>
        <w:rPr>
          <w:rFonts w:hint="eastAsia" w:ascii="Times New Roman"/>
          <w:color w:val="auto"/>
          <w:szCs w:val="22"/>
          <w:highlight w:val="none"/>
          <w:lang w:val="en-US" w:eastAsia="zh-CN"/>
        </w:rPr>
        <w:t>kN/m</w:t>
      </w:r>
      <w:r>
        <w:rPr>
          <w:rFonts w:ascii="Times New Roman"/>
          <w:color w:val="auto"/>
          <w:szCs w:val="22"/>
          <w:highlight w:val="none"/>
        </w:rPr>
        <w:t>；</w:t>
      </w:r>
    </w:p>
    <w:p w14:paraId="12E8B77F">
      <w:pPr>
        <w:pStyle w:val="25"/>
        <w:keepNext w:val="0"/>
        <w:keepLines w:val="0"/>
        <w:pageBreakBefore w:val="0"/>
        <w:widowControl/>
        <w:kinsoku/>
        <w:wordWrap/>
        <w:overflowPunct/>
        <w:topLinePunct w:val="0"/>
        <w:autoSpaceDE w:val="0"/>
        <w:autoSpaceDN w:val="0"/>
        <w:bidi w:val="0"/>
        <w:adjustRightInd/>
        <w:snapToGrid/>
        <w:spacing w:line="240" w:lineRule="auto"/>
        <w:ind w:firstLine="1260" w:firstLineChars="600"/>
        <w:textAlignment w:val="center"/>
        <w:rPr>
          <w:rFonts w:ascii="Times New Roman"/>
          <w:color w:val="auto"/>
          <w:szCs w:val="22"/>
          <w:highlight w:val="none"/>
        </w:rPr>
      </w:pPr>
      <w:r>
        <w:rPr>
          <w:rFonts w:hint="eastAsia" w:ascii="Times New Roman"/>
          <w:i/>
          <w:iCs/>
          <w:color w:val="auto"/>
          <w:szCs w:val="22"/>
          <w:highlight w:val="none"/>
          <w:lang w:val="en-US" w:eastAsia="zh-CN"/>
        </w:rPr>
        <w:t>B</w:t>
      </w:r>
      <w:r>
        <w:rPr>
          <w:rFonts w:hint="eastAsia" w:ascii="Times New Roman"/>
          <w:color w:val="auto"/>
          <w:szCs w:val="22"/>
          <w:highlight w:val="none"/>
          <w:vertAlign w:val="subscript"/>
          <w:lang w:val="en-US" w:eastAsia="zh-CN"/>
        </w:rPr>
        <w:t>d</w:t>
      </w:r>
      <w:r>
        <w:rPr>
          <w:rFonts w:ascii="Times New Roman"/>
          <w:color w:val="auto"/>
          <w:szCs w:val="22"/>
          <w:highlight w:val="none"/>
        </w:rPr>
        <w:t>——管顶处的管够宽度，</w:t>
      </w:r>
      <w:r>
        <w:rPr>
          <w:rFonts w:hint="eastAsia" w:ascii="Times New Roman"/>
          <w:color w:val="auto"/>
          <w:szCs w:val="22"/>
          <w:highlight w:val="none"/>
          <w:lang w:val="en-US" w:eastAsia="zh-CN"/>
        </w:rPr>
        <w:t>m</w:t>
      </w:r>
      <w:r>
        <w:rPr>
          <w:rFonts w:ascii="Times New Roman"/>
          <w:color w:val="auto"/>
          <w:szCs w:val="22"/>
          <w:highlight w:val="none"/>
        </w:rPr>
        <w:t>；</w:t>
      </w:r>
    </w:p>
    <w:p w14:paraId="4C3A9C79">
      <w:pPr>
        <w:pStyle w:val="25"/>
        <w:keepNext w:val="0"/>
        <w:keepLines w:val="0"/>
        <w:pageBreakBefore w:val="0"/>
        <w:widowControl/>
        <w:kinsoku/>
        <w:wordWrap/>
        <w:overflowPunct/>
        <w:topLinePunct w:val="0"/>
        <w:autoSpaceDE w:val="0"/>
        <w:autoSpaceDN w:val="0"/>
        <w:bidi w:val="0"/>
        <w:adjustRightInd/>
        <w:snapToGrid/>
        <w:spacing w:line="240" w:lineRule="auto"/>
        <w:ind w:firstLine="1260" w:firstLineChars="600"/>
        <w:textAlignment w:val="center"/>
        <w:rPr>
          <w:rFonts w:ascii="Times New Roman"/>
          <w:color w:val="auto"/>
          <w:szCs w:val="22"/>
          <w:highlight w:val="none"/>
        </w:rPr>
      </w:pPr>
      <w:r>
        <w:rPr>
          <w:rFonts w:hint="eastAsia" w:ascii="Times New Roman"/>
          <w:i/>
          <w:iCs/>
          <w:color w:val="auto"/>
          <w:szCs w:val="22"/>
          <w:highlight w:val="none"/>
          <w:lang w:val="en-US" w:eastAsia="zh-CN"/>
        </w:rPr>
        <w:t>B</w:t>
      </w:r>
      <w:r>
        <w:rPr>
          <w:rFonts w:hint="eastAsia" w:ascii="Times New Roman"/>
          <w:color w:val="auto"/>
          <w:szCs w:val="22"/>
          <w:highlight w:val="none"/>
          <w:vertAlign w:val="subscript"/>
          <w:lang w:val="en-US" w:eastAsia="zh-CN"/>
        </w:rPr>
        <w:t>c</w:t>
      </w:r>
      <w:r>
        <w:rPr>
          <w:rFonts w:ascii="Times New Roman"/>
          <w:color w:val="auto"/>
          <w:szCs w:val="22"/>
          <w:highlight w:val="none"/>
        </w:rPr>
        <w:t>——管道外径，</w:t>
      </w:r>
      <w:r>
        <w:rPr>
          <w:rFonts w:hint="eastAsia" w:ascii="Times New Roman"/>
          <w:color w:val="auto"/>
          <w:szCs w:val="22"/>
          <w:highlight w:val="none"/>
          <w:lang w:val="en-US" w:eastAsia="zh-CN"/>
        </w:rPr>
        <w:t>m</w:t>
      </w:r>
      <w:r>
        <w:rPr>
          <w:rFonts w:ascii="Times New Roman"/>
          <w:color w:val="auto"/>
          <w:szCs w:val="22"/>
          <w:highlight w:val="none"/>
        </w:rPr>
        <w:t>；</w:t>
      </w:r>
    </w:p>
    <w:p w14:paraId="1BDB75D8">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center"/>
        <w:rPr>
          <w:rFonts w:ascii="Times New Roman"/>
          <w:color w:val="auto"/>
          <w:szCs w:val="22"/>
          <w:highlight w:val="none"/>
        </w:rPr>
      </w:pPr>
      <w:r>
        <w:rPr>
          <w:rFonts w:ascii="Times New Roman"/>
          <w:color w:val="auto"/>
          <w:szCs w:val="22"/>
          <w:highlight w:val="none"/>
        </w:rPr>
        <w:t xml:space="preserve">     </w:t>
      </w:r>
      <w:r>
        <w:rPr>
          <w:rFonts w:hint="eastAsia" w:ascii="Times New Roman"/>
          <w:color w:val="auto"/>
          <w:szCs w:val="22"/>
          <w:highlight w:val="none"/>
        </w:rPr>
        <w:t xml:space="preserve">    </w:t>
      </w:r>
      <w:r>
        <w:rPr>
          <w:rFonts w:ascii="Times New Roman"/>
          <w:color w:val="auto"/>
          <w:szCs w:val="22"/>
          <w:highlight w:val="none"/>
        </w:rPr>
        <w:t xml:space="preserve">   </w:t>
      </w:r>
      <w:r>
        <w:rPr>
          <w:rFonts w:hint="eastAsia" w:ascii="Times New Roman"/>
          <w:i/>
          <w:iCs/>
          <w:color w:val="auto"/>
          <w:szCs w:val="22"/>
          <w:highlight w:val="none"/>
          <w:lang w:val="en-US" w:eastAsia="zh-CN"/>
        </w:rPr>
        <w:t>W</w:t>
      </w:r>
      <w:r>
        <w:rPr>
          <w:rFonts w:ascii="Times New Roman"/>
          <w:color w:val="auto"/>
          <w:szCs w:val="22"/>
          <w:highlight w:val="none"/>
        </w:rPr>
        <w:t>——回填材料密度，</w:t>
      </w:r>
      <w:r>
        <w:rPr>
          <w:rFonts w:hint="eastAsia" w:ascii="Times New Roman"/>
          <w:color w:val="auto"/>
          <w:szCs w:val="22"/>
          <w:highlight w:val="none"/>
          <w:lang w:val="en-US" w:eastAsia="zh-CN"/>
        </w:rPr>
        <w:t>kN/m</w:t>
      </w:r>
      <w:r>
        <w:rPr>
          <w:rFonts w:ascii="Times New Roman"/>
          <w:color w:val="auto"/>
          <w:szCs w:val="22"/>
          <w:highlight w:val="none"/>
        </w:rPr>
        <w:t>；</w:t>
      </w:r>
    </w:p>
    <w:p w14:paraId="4E486006">
      <w:pPr>
        <w:pStyle w:val="25"/>
        <w:keepNext w:val="0"/>
        <w:keepLines w:val="0"/>
        <w:pageBreakBefore w:val="0"/>
        <w:widowControl/>
        <w:kinsoku/>
        <w:wordWrap/>
        <w:overflowPunct/>
        <w:topLinePunct w:val="0"/>
        <w:autoSpaceDE w:val="0"/>
        <w:autoSpaceDN w:val="0"/>
        <w:bidi w:val="0"/>
        <w:adjustRightInd/>
        <w:snapToGrid/>
        <w:spacing w:line="240" w:lineRule="auto"/>
        <w:ind w:firstLine="0" w:firstLineChars="0"/>
        <w:textAlignment w:val="center"/>
        <w:rPr>
          <w:rFonts w:ascii="Times New Roman"/>
          <w:color w:val="auto"/>
          <w:szCs w:val="22"/>
          <w:highlight w:val="none"/>
        </w:rPr>
      </w:pPr>
      <w:r>
        <w:rPr>
          <w:rFonts w:ascii="Times New Roman"/>
          <w:color w:val="auto"/>
          <w:szCs w:val="22"/>
          <w:highlight w:val="none"/>
        </w:rPr>
        <w:t xml:space="preserve">       </w:t>
      </w:r>
      <w:r>
        <w:rPr>
          <w:rFonts w:hint="eastAsia" w:ascii="Times New Roman"/>
          <w:color w:val="auto"/>
          <w:szCs w:val="22"/>
          <w:highlight w:val="none"/>
        </w:rPr>
        <w:t xml:space="preserve">    </w:t>
      </w:r>
      <w:r>
        <w:rPr>
          <w:rFonts w:ascii="Times New Roman"/>
          <w:color w:val="auto"/>
          <w:szCs w:val="22"/>
          <w:highlight w:val="none"/>
        </w:rPr>
        <w:t xml:space="preserve"> </w:t>
      </w:r>
      <w:r>
        <w:rPr>
          <w:rFonts w:hint="eastAsia" w:ascii="Times New Roman"/>
          <w:i/>
          <w:iCs/>
          <w:color w:val="auto"/>
          <w:szCs w:val="22"/>
          <w:highlight w:val="none"/>
          <w:lang w:val="en-US" w:eastAsia="zh-CN"/>
        </w:rPr>
        <w:t>C</w:t>
      </w:r>
      <w:r>
        <w:rPr>
          <w:rFonts w:hint="eastAsia" w:ascii="Times New Roman"/>
          <w:color w:val="auto"/>
          <w:szCs w:val="22"/>
          <w:highlight w:val="none"/>
          <w:vertAlign w:val="subscript"/>
          <w:lang w:val="en-US" w:eastAsia="zh-CN"/>
        </w:rPr>
        <w:t>d</w:t>
      </w:r>
      <w:r>
        <w:rPr>
          <w:rFonts w:ascii="Times New Roman"/>
          <w:color w:val="auto"/>
          <w:szCs w:val="22"/>
          <w:highlight w:val="none"/>
        </w:rPr>
        <w:t>——荷载系数，为管顶以上回填土高度</w:t>
      </w:r>
      <w:r>
        <w:rPr>
          <w:rFonts w:hint="eastAsia" w:ascii="Times New Roman"/>
          <w:i/>
          <w:iCs/>
          <w:color w:val="auto"/>
          <w:szCs w:val="22"/>
          <w:highlight w:val="none"/>
          <w:lang w:val="en-US" w:eastAsia="zh-CN"/>
        </w:rPr>
        <w:t>H</w:t>
      </w:r>
      <w:r>
        <w:rPr>
          <w:rFonts w:hint="eastAsia" w:ascii="Times New Roman"/>
          <w:color w:val="auto"/>
          <w:szCs w:val="22"/>
          <w:highlight w:val="none"/>
          <w:vertAlign w:val="subscript"/>
          <w:lang w:val="en-US" w:eastAsia="zh-CN"/>
        </w:rPr>
        <w:t>d</w:t>
      </w:r>
      <w:r>
        <w:rPr>
          <w:rFonts w:ascii="Times New Roman"/>
          <w:color w:val="auto"/>
          <w:szCs w:val="22"/>
          <w:highlight w:val="none"/>
        </w:rPr>
        <w:t>与</w:t>
      </w:r>
      <w:r>
        <w:rPr>
          <w:rFonts w:hint="eastAsia" w:ascii="Times New Roman"/>
          <w:i/>
          <w:iCs/>
          <w:color w:val="auto"/>
          <w:szCs w:val="22"/>
          <w:highlight w:val="none"/>
          <w:lang w:val="en-US" w:eastAsia="zh-CN"/>
        </w:rPr>
        <w:t>B</w:t>
      </w:r>
      <w:r>
        <w:rPr>
          <w:rFonts w:hint="eastAsia" w:ascii="Times New Roman"/>
          <w:color w:val="auto"/>
          <w:szCs w:val="22"/>
          <w:highlight w:val="none"/>
          <w:vertAlign w:val="subscript"/>
          <w:lang w:val="en-US" w:eastAsia="zh-CN"/>
        </w:rPr>
        <w:t>d</w:t>
      </w:r>
      <w:r>
        <w:rPr>
          <w:rFonts w:ascii="Times New Roman"/>
          <w:color w:val="auto"/>
          <w:szCs w:val="22"/>
          <w:highlight w:val="none"/>
        </w:rPr>
        <w:t>比值的函数，可从下图查得。</w:t>
      </w:r>
    </w:p>
    <w:p w14:paraId="38A93A86">
      <w:pPr>
        <w:pStyle w:val="25"/>
        <w:keepNext w:val="0"/>
        <w:keepLines w:val="0"/>
        <w:pageBreakBefore w:val="0"/>
        <w:widowControl/>
        <w:kinsoku/>
        <w:wordWrap/>
        <w:overflowPunct/>
        <w:topLinePunct w:val="0"/>
        <w:autoSpaceDE w:val="0"/>
        <w:autoSpaceDN w:val="0"/>
        <w:bidi w:val="0"/>
        <w:adjustRightInd/>
        <w:snapToGrid/>
        <w:spacing w:line="240" w:lineRule="auto"/>
        <w:textAlignment w:val="center"/>
        <w:rPr>
          <w:rFonts w:ascii="Times New Roman"/>
          <w:color w:val="auto"/>
          <w:szCs w:val="22"/>
          <w:highlight w:val="none"/>
        </w:rPr>
      </w:pPr>
      <w:r>
        <w:rPr>
          <w:rFonts w:ascii="Times New Roman"/>
          <w:color w:val="auto"/>
          <w:szCs w:val="22"/>
          <w:highlight w:val="none"/>
        </w:rPr>
        <w:t>刚性管的强度应大于或等于1.5</w:t>
      </w:r>
      <w:r>
        <w:rPr>
          <w:rFonts w:hint="eastAsia" w:ascii="Times New Roman"/>
          <w:i/>
          <w:iCs/>
          <w:color w:val="auto"/>
          <w:szCs w:val="22"/>
          <w:highlight w:val="none"/>
          <w:lang w:val="en-US" w:eastAsia="zh-CN"/>
        </w:rPr>
        <w:t>W</w:t>
      </w:r>
      <w:r>
        <w:rPr>
          <w:rFonts w:hint="eastAsia" w:ascii="Times New Roman"/>
          <w:color w:val="auto"/>
          <w:szCs w:val="22"/>
          <w:highlight w:val="none"/>
          <w:vertAlign w:val="subscript"/>
          <w:lang w:val="en-US" w:eastAsia="zh-CN"/>
        </w:rPr>
        <w:t>c</w:t>
      </w:r>
      <w:r>
        <w:rPr>
          <w:rFonts w:ascii="Times New Roman"/>
          <w:color w:val="auto"/>
          <w:szCs w:val="22"/>
          <w:highlight w:val="none"/>
        </w:rPr>
        <w:t>的安全荷载要求。波纹塑料管以挠曲变形不超过10%时的荷载为安全荷载，应大于或等于</w:t>
      </w:r>
      <w:r>
        <w:rPr>
          <w:rFonts w:hint="eastAsia" w:ascii="Times New Roman"/>
          <w:i/>
          <w:iCs/>
          <w:color w:val="auto"/>
          <w:szCs w:val="22"/>
          <w:highlight w:val="none"/>
          <w:lang w:val="en-US" w:eastAsia="zh-CN"/>
        </w:rPr>
        <w:t>W</w:t>
      </w:r>
      <w:r>
        <w:rPr>
          <w:rFonts w:hint="eastAsia" w:ascii="Times New Roman"/>
          <w:color w:val="auto"/>
          <w:szCs w:val="22"/>
          <w:highlight w:val="none"/>
          <w:vertAlign w:val="subscript"/>
          <w:lang w:val="en-US" w:eastAsia="zh-CN"/>
        </w:rPr>
        <w:t>c</w:t>
      </w:r>
      <w:r>
        <w:rPr>
          <w:rFonts w:ascii="Times New Roman"/>
          <w:color w:val="auto"/>
          <w:szCs w:val="22"/>
          <w:highlight w:val="none"/>
        </w:rPr>
        <w:t>。</w:t>
      </w:r>
    </w:p>
    <w:p w14:paraId="01743C1E">
      <w:pPr>
        <w:pStyle w:val="25"/>
        <w:ind w:firstLine="0" w:firstLineChars="0"/>
        <w:jc w:val="center"/>
        <w:rPr>
          <w:rFonts w:ascii="Times New Roman"/>
          <w:color w:val="auto"/>
          <w:szCs w:val="22"/>
          <w:highlight w:val="none"/>
        </w:rPr>
      </w:pPr>
      <w:r>
        <w:rPr>
          <w:rFonts w:ascii="Times New Roman"/>
          <w:color w:val="auto"/>
          <w:szCs w:val="22"/>
          <w:highlight w:val="none"/>
        </w:rPr>
        <w:drawing>
          <wp:inline distT="0" distB="0" distL="114300" distR="114300">
            <wp:extent cx="2811780" cy="2121535"/>
            <wp:effectExtent l="0" t="0" r="7620" b="12065"/>
            <wp:docPr id="13" name="图片 645" descr="UE_IU]ELRVW2-VH[4B_@N5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45" descr="UE_IU]ELRVW2-VH[4B_@N5S"/>
                    <pic:cNvPicPr>
                      <a:picLocks noChangeAspect="1"/>
                    </pic:cNvPicPr>
                  </pic:nvPicPr>
                  <pic:blipFill>
                    <a:blip r:embed="rId106"/>
                    <a:srcRect b="1793"/>
                    <a:stretch>
                      <a:fillRect/>
                    </a:stretch>
                  </pic:blipFill>
                  <pic:spPr>
                    <a:xfrm>
                      <a:off x="0" y="0"/>
                      <a:ext cx="2811780" cy="2121535"/>
                    </a:xfrm>
                    <a:prstGeom prst="rect">
                      <a:avLst/>
                    </a:prstGeom>
                    <a:noFill/>
                    <a:ln>
                      <a:noFill/>
                    </a:ln>
                  </pic:spPr>
                </pic:pic>
              </a:graphicData>
            </a:graphic>
          </wp:inline>
        </w:drawing>
      </w:r>
    </w:p>
    <w:p w14:paraId="55AD01C2">
      <w:pPr>
        <w:pStyle w:val="126"/>
        <w:keepNext w:val="0"/>
        <w:keepLines w:val="0"/>
        <w:pageBreakBefore w:val="0"/>
        <w:widowControl w:val="0"/>
        <w:numPr>
          <w:ilvl w:val="0"/>
          <w:numId w:val="0"/>
        </w:numPr>
        <w:kinsoku/>
        <w:wordWrap/>
        <w:overflowPunct/>
        <w:topLinePunct w:val="0"/>
        <w:autoSpaceDE/>
        <w:autoSpaceDN/>
        <w:bidi w:val="0"/>
        <w:adjustRightInd/>
        <w:snapToGrid/>
        <w:spacing w:before="0" w:beforeLines="0" w:after="0" w:afterLines="0" w:line="240" w:lineRule="auto"/>
        <w:ind w:left="3464"/>
        <w:jc w:val="both"/>
        <w:textAlignment w:val="auto"/>
        <w:rPr>
          <w:color w:val="auto"/>
          <w:sz w:val="18"/>
          <w:szCs w:val="18"/>
          <w:highlight w:val="none"/>
        </w:rPr>
      </w:pPr>
      <w:bookmarkStart w:id="502" w:name="_Toc10101_WPSOffice_Level1"/>
      <w:bookmarkStart w:id="503" w:name="_Toc27155_WPSOffice_Level1"/>
      <w:r>
        <w:rPr>
          <w:color w:val="auto"/>
          <w:sz w:val="18"/>
          <w:szCs w:val="18"/>
          <w:highlight w:val="none"/>
        </w:rPr>
        <w:t>计算回填土料重力荷载系数</w:t>
      </w:r>
      <w:bookmarkEnd w:id="502"/>
      <w:bookmarkEnd w:id="503"/>
    </w:p>
    <w:p w14:paraId="429BCC59">
      <w:pPr>
        <w:pStyle w:val="25"/>
        <w:keepNext w:val="0"/>
        <w:keepLines w:val="0"/>
        <w:pageBreakBefore w:val="0"/>
        <w:kinsoku/>
        <w:wordWrap/>
        <w:overflowPunct/>
        <w:topLinePunct w:val="0"/>
        <w:bidi w:val="0"/>
        <w:adjustRightInd/>
        <w:snapToGrid/>
        <w:spacing w:line="240" w:lineRule="auto"/>
        <w:ind w:firstLine="0" w:firstLineChars="0"/>
        <w:rPr>
          <w:rFonts w:ascii="Times New Roman"/>
          <w:color w:val="auto"/>
          <w:szCs w:val="22"/>
          <w:highlight w:val="none"/>
        </w:rPr>
      </w:pPr>
      <w:r>
        <w:rPr>
          <w:rFonts w:hint="eastAsia" w:ascii="宋体" w:hAnsi="宋体" w:eastAsia="宋体" w:cs="宋体"/>
          <w:color w:val="auto"/>
          <w:szCs w:val="22"/>
          <w:highlight w:val="none"/>
        </w:rPr>
        <w:t>6.</w:t>
      </w:r>
      <w:r>
        <w:rPr>
          <w:rFonts w:hint="eastAsia" w:ascii="宋体" w:hAnsi="宋体" w:eastAsia="宋体" w:cs="宋体"/>
          <w:color w:val="auto"/>
          <w:szCs w:val="22"/>
          <w:highlight w:val="none"/>
          <w:lang w:val="en-US" w:eastAsia="zh-CN"/>
        </w:rPr>
        <w:t>6</w:t>
      </w:r>
      <w:r>
        <w:rPr>
          <w:rFonts w:hint="eastAsia" w:ascii="宋体" w:hAnsi="宋体" w:eastAsia="宋体" w:cs="宋体"/>
          <w:color w:val="auto"/>
          <w:szCs w:val="22"/>
          <w:highlight w:val="none"/>
        </w:rPr>
        <w:t>.1</w:t>
      </w:r>
      <w:r>
        <w:rPr>
          <w:rFonts w:hint="eastAsia" w:ascii="Times New Roman"/>
          <w:color w:val="auto"/>
          <w:szCs w:val="22"/>
          <w:highlight w:val="none"/>
        </w:rPr>
        <w:t xml:space="preserve"> </w:t>
      </w:r>
      <w:r>
        <w:rPr>
          <w:rFonts w:ascii="Times New Roman"/>
          <w:color w:val="auto"/>
          <w:szCs w:val="22"/>
          <w:highlight w:val="none"/>
        </w:rPr>
        <w:t>检查井用于运行过程中对暗管进行检查和维护，应便于人工作业，因此井的直径不宜小于80cm，但也不应太大，以免增加检查井的成本。</w:t>
      </w:r>
    </w:p>
    <w:p w14:paraId="479E54A7">
      <w:pPr>
        <w:pStyle w:val="25"/>
        <w:keepNext w:val="0"/>
        <w:keepLines w:val="0"/>
        <w:pageBreakBefore w:val="0"/>
        <w:kinsoku/>
        <w:wordWrap/>
        <w:overflowPunct/>
        <w:topLinePunct w:val="0"/>
        <w:bidi w:val="0"/>
        <w:adjustRightInd/>
        <w:snapToGrid/>
        <w:spacing w:line="240" w:lineRule="auto"/>
        <w:ind w:left="0" w:leftChars="0" w:firstLine="0" w:firstLineChars="0"/>
        <w:textAlignment w:val="center"/>
        <w:rPr>
          <w:rFonts w:hint="default" w:ascii="Times New Roman" w:eastAsia="宋体"/>
          <w:color w:val="auto"/>
          <w:szCs w:val="22"/>
          <w:highlight w:val="none"/>
          <w:lang w:val="en-US" w:eastAsia="zh-CN"/>
        </w:rPr>
      </w:pPr>
      <w:r>
        <w:rPr>
          <w:rFonts w:hint="eastAsia" w:ascii="宋体" w:hAnsi="宋体" w:eastAsia="宋体" w:cs="宋体"/>
          <w:color w:val="auto"/>
          <w:szCs w:val="22"/>
          <w:highlight w:val="none"/>
          <w:lang w:val="en-US" w:eastAsia="zh-CN"/>
        </w:rPr>
        <w:t xml:space="preserve">6.8.1 </w:t>
      </w:r>
      <w:r>
        <w:rPr>
          <w:rFonts w:ascii="Times New Roman"/>
          <w:color w:val="auto"/>
          <w:szCs w:val="22"/>
          <w:highlight w:val="none"/>
        </w:rPr>
        <w:t>暗管管材是暗管排水工程的主要材料，应根据本规</w:t>
      </w:r>
      <w:r>
        <w:rPr>
          <w:rFonts w:hint="eastAsia" w:ascii="Times New Roman"/>
          <w:color w:val="auto"/>
          <w:szCs w:val="22"/>
          <w:highlight w:val="none"/>
          <w:lang w:val="en-US" w:eastAsia="zh-CN"/>
        </w:rPr>
        <w:t>程</w:t>
      </w:r>
      <w:r>
        <w:rPr>
          <w:rFonts w:ascii="Times New Roman"/>
          <w:color w:val="auto"/>
          <w:szCs w:val="22"/>
          <w:highlight w:val="none"/>
        </w:rPr>
        <w:t>的各项规定</w:t>
      </w:r>
      <w:r>
        <w:rPr>
          <w:rFonts w:hint="eastAsia" w:ascii="Times New Roman"/>
          <w:color w:val="auto"/>
          <w:szCs w:val="22"/>
          <w:highlight w:val="none"/>
          <w:lang w:val="en-US" w:eastAsia="zh-CN"/>
        </w:rPr>
        <w:t>严格</w:t>
      </w:r>
      <w:r>
        <w:rPr>
          <w:rFonts w:ascii="Times New Roman"/>
          <w:color w:val="auto"/>
          <w:szCs w:val="22"/>
          <w:highlight w:val="none"/>
        </w:rPr>
        <w:t>选用。</w:t>
      </w:r>
    </w:p>
    <w:p w14:paraId="4C3A6F07">
      <w:pPr>
        <w:pStyle w:val="133"/>
        <w:numPr>
          <w:ilvl w:val="0"/>
          <w:numId w:val="0"/>
        </w:numPr>
        <w:spacing w:before="156" w:after="156"/>
        <w:rPr>
          <w:rFonts w:hint="eastAsia" w:hAnsi="黑体" w:cs="黑体"/>
          <w:color w:val="auto"/>
          <w:highlight w:val="none"/>
        </w:rPr>
      </w:pPr>
      <w:bookmarkStart w:id="504" w:name="_Toc520823517"/>
      <w:bookmarkStart w:id="505" w:name="_Toc5891"/>
      <w:bookmarkStart w:id="506" w:name="_Toc522140545"/>
      <w:bookmarkStart w:id="507" w:name="_Toc17551"/>
      <w:bookmarkStart w:id="508" w:name="_Toc9469"/>
      <w:bookmarkStart w:id="509" w:name="_Toc13518"/>
      <w:bookmarkStart w:id="510" w:name="_Toc26664"/>
      <w:bookmarkStart w:id="511" w:name="_Toc299889815"/>
      <w:bookmarkStart w:id="512" w:name="_Toc6235"/>
      <w:r>
        <w:rPr>
          <w:rFonts w:hint="eastAsia" w:hAnsi="黑体" w:cs="黑体"/>
          <w:color w:val="auto"/>
          <w:highlight w:val="none"/>
        </w:rPr>
        <w:t>7 施 工</w:t>
      </w:r>
      <w:bookmarkEnd w:id="504"/>
      <w:bookmarkEnd w:id="505"/>
      <w:bookmarkEnd w:id="506"/>
      <w:bookmarkEnd w:id="507"/>
      <w:bookmarkEnd w:id="508"/>
      <w:bookmarkEnd w:id="509"/>
      <w:bookmarkEnd w:id="510"/>
      <w:bookmarkEnd w:id="511"/>
      <w:bookmarkEnd w:id="512"/>
    </w:p>
    <w:p w14:paraId="56AC8381">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7.1.1 </w:t>
      </w:r>
      <w:r>
        <w:rPr>
          <w:color w:val="auto"/>
          <w:highlight w:val="none"/>
        </w:rPr>
        <w:t>暗管排水工程属于地下隐蔽工程，施工质量是关键。施工实行招投标或承包时，应考察施工单位或施工队伍的资质，明确发包方、承包方、监理方的责任和义务，严格检查验收，确保施工质量。</w:t>
      </w:r>
    </w:p>
    <w:p w14:paraId="6F3E4E99">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7.1.2 </w:t>
      </w:r>
      <w:r>
        <w:rPr>
          <w:color w:val="auto"/>
          <w:highlight w:val="none"/>
        </w:rPr>
        <w:t>施工人员，尤其是开沟铺管机和其他施工机械驾驶员必须进行培训，在达到熟练掌握操作技术和施工技术要求后，方可进入现场施工。当组织群众开挖沟道时，应进行标准断面的开挖示范，其目的是为了明确技术要求，保证施工质量。</w:t>
      </w:r>
    </w:p>
    <w:p w14:paraId="30523186">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7.2.1 </w:t>
      </w:r>
      <w:r>
        <w:rPr>
          <w:rFonts w:hint="eastAsia"/>
          <w:color w:val="auto"/>
          <w:highlight w:val="none"/>
          <w:lang w:val="en-US" w:eastAsia="zh-CN"/>
        </w:rPr>
        <w:t>人工开挖</w:t>
      </w:r>
      <w:r>
        <w:rPr>
          <w:color w:val="auto"/>
          <w:highlight w:val="none"/>
        </w:rPr>
        <w:t>管沟底部的宽度，应以</w:t>
      </w:r>
      <w:r>
        <w:rPr>
          <w:rFonts w:hint="eastAsia"/>
          <w:color w:val="auto"/>
          <w:highlight w:val="none"/>
          <w:lang w:val="en-US" w:eastAsia="zh-CN"/>
        </w:rPr>
        <w:t>相关</w:t>
      </w:r>
      <w:r>
        <w:rPr>
          <w:color w:val="auto"/>
          <w:highlight w:val="none"/>
        </w:rPr>
        <w:t>规范条款</w:t>
      </w:r>
      <w:r>
        <w:rPr>
          <w:rFonts w:hint="eastAsia"/>
          <w:color w:val="auto"/>
          <w:highlight w:val="none"/>
          <w:lang w:val="en-US" w:eastAsia="zh-CN"/>
        </w:rPr>
        <w:t>的</w:t>
      </w:r>
      <w:r>
        <w:rPr>
          <w:color w:val="auto"/>
          <w:highlight w:val="none"/>
        </w:rPr>
        <w:t>规定为限，据马斯墩公式，铺管部位的沟底愈宽，要求的管材抗压强度也愈大。</w:t>
      </w:r>
    </w:p>
    <w:p w14:paraId="06705813">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7.2.2 </w:t>
      </w:r>
      <w:r>
        <w:rPr>
          <w:color w:val="auto"/>
          <w:highlight w:val="none"/>
        </w:rPr>
        <w:t>回填管沟时应先回填心土，最后再回填耕层土壤，可保持表土肥力；而回填土略高于地面则可供沉实之需要。每条吸水管宜在无雨日内完成埋设，有利保证施工质量。</w:t>
      </w:r>
    </w:p>
    <w:p w14:paraId="3F4DCD2B">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7.2.3 </w:t>
      </w:r>
      <w:r>
        <w:rPr>
          <w:color w:val="auto"/>
          <w:highlight w:val="none"/>
        </w:rPr>
        <w:t>管道和外包滤料的铺设是暗管工程的关键，特</w:t>
      </w:r>
      <w:r>
        <w:rPr>
          <w:rFonts w:hint="eastAsia"/>
          <w:color w:val="auto"/>
          <w:highlight w:val="none"/>
          <w:lang w:val="en-US" w:eastAsia="zh-CN"/>
        </w:rPr>
        <w:t>别</w:t>
      </w:r>
      <w:r>
        <w:rPr>
          <w:color w:val="auto"/>
          <w:highlight w:val="none"/>
        </w:rPr>
        <w:t>对人工铺设作了规定。</w:t>
      </w:r>
    </w:p>
    <w:p w14:paraId="6396C12B">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（1）由上游向下游铺设和封闭吸水管起始端的规定，是为了防止施工过程中发生泥土人管。吸水管出口段3m左右改用不透水管材，可防止水流从管壁渗出并绕过暗管口门浸蚀沟坡。</w:t>
      </w:r>
    </w:p>
    <w:p w14:paraId="26EB0B6C">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（2）在泥水中或降雨时作业，不但管道和外包滤料铺设困难，而且管道内极易发生不同程度的淤堵，严重影响施工质量和排水效果，应予严禁。</w:t>
      </w:r>
    </w:p>
    <w:p w14:paraId="5BB830E8">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（3）各节刚性管口应靠紧的规定，是为了限制企图通过增大接口缝隙以增大渗水入管能力的错误做法。因为人为增大接口缝</w:t>
      </w:r>
      <w:r>
        <w:rPr>
          <w:color w:val="auto"/>
          <w:highlight w:val="none"/>
          <w:lang w:val="zh-TW" w:eastAsia="zh-TW"/>
        </w:rPr>
        <w:t>隙不易准确控制，反易造成管节错位和泥土入管。</w:t>
      </w:r>
    </w:p>
    <w:p w14:paraId="0360E843">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（4）</w:t>
      </w:r>
      <w:r>
        <w:rPr>
          <w:rFonts w:hint="eastAsia"/>
          <w:color w:val="auto"/>
          <w:highlight w:val="none"/>
          <w:lang w:val="en-US" w:eastAsia="zh-CN"/>
        </w:rPr>
        <w:t>本</w:t>
      </w:r>
      <w:r>
        <w:rPr>
          <w:color w:val="auto"/>
          <w:highlight w:val="none"/>
        </w:rPr>
        <w:t>规</w:t>
      </w:r>
      <w:r>
        <w:rPr>
          <w:rFonts w:hint="eastAsia"/>
          <w:color w:val="auto"/>
          <w:highlight w:val="none"/>
          <w:lang w:val="en-US" w:eastAsia="zh-CN"/>
        </w:rPr>
        <w:t>程</w:t>
      </w:r>
      <w:r>
        <w:rPr>
          <w:color w:val="auto"/>
          <w:highlight w:val="none"/>
        </w:rPr>
        <w:t>条款为设置滤料的一般规定，若沟底土壤无淤积倾向，则可免在沟底铺放。</w:t>
      </w:r>
    </w:p>
    <w:p w14:paraId="7F117375">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7.2.4 </w:t>
      </w:r>
      <w:r>
        <w:rPr>
          <w:color w:val="auto"/>
          <w:highlight w:val="none"/>
        </w:rPr>
        <w:t>暗管铺设的施工机械有开沟铺管机和无沟铺管机，有的还具有激光控制纵坡的设备。若铺设管径较大的集水管时，宜采用挖掘机开沟、人工铺管。因此，应根据治理区的土质情况，设计采用的管材、管径和埋管深度，以及施工面积和经济条件等因素，选用适当的机型。购置这类机械时，应注意配购足够数量的易损件，以保证施工作业的顺利进行。</w:t>
      </w:r>
    </w:p>
    <w:p w14:paraId="11E8DC7A">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1）采用丁字形视标杆控制纵坡时，视标杆上的标尺是驾驶员靠目视来控制挖深和纵坡的依据。因此，在开沟铺管机的行进前方应有两个以上经过量测而竖立的视标杆，驾驶员必须保持视准线和前方各视标杆上的标尺始终在一个平面上。</w:t>
      </w:r>
    </w:p>
    <w:p w14:paraId="63B0C403">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（2）每条管道的铺设作业应自下游向上游连续一次完成，可使管内渗水及时排出，并避免开沟铺管机在停留期间发生沉陷位移，从而造成管道在该处错位（尤其是刚性管材），或泥沙在该处沉积形成堵塞。</w:t>
      </w:r>
    </w:p>
    <w:p w14:paraId="09B3E0B9">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（3）由于开沟铺管机开挖的管沟较窄，回填时易发生土块卡堵而形成架空现象，应配合人工处理加以预防。</w:t>
      </w:r>
    </w:p>
    <w:p w14:paraId="04E19BB5">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7.2.5 </w:t>
      </w:r>
      <w:r>
        <w:rPr>
          <w:color w:val="auto"/>
          <w:highlight w:val="none"/>
        </w:rPr>
        <w:t>人工开挖管沟时应按照自下游往上游、从集水管到吸水管的顺序进行，这样有利于及时排除管沟内的集水。一般应将耕作层和心土层的土壤分别放置在沟岸两侧各50cm以外，便于暗管和外包滤料的铺设作业，并适应回填要求。</w:t>
      </w:r>
    </w:p>
    <w:p w14:paraId="138BA10D">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 xml:space="preserve">7.2.6 </w:t>
      </w:r>
      <w:r>
        <w:rPr>
          <w:color w:val="auto"/>
          <w:highlight w:val="none"/>
        </w:rPr>
        <w:t>采用机械开挖、人工铺管时，多为铺设大口径承插式刚性管道，其接头扩口部位的基土必须清除，以保证管体平稳的放置在基土或垫层上，故规定沟管底部由人工施工。</w:t>
      </w:r>
    </w:p>
    <w:p w14:paraId="0DE0F10D">
      <w:pPr>
        <w:pStyle w:val="133"/>
        <w:numPr>
          <w:ilvl w:val="0"/>
          <w:numId w:val="0"/>
        </w:numPr>
        <w:spacing w:before="156" w:after="156"/>
        <w:rPr>
          <w:color w:val="auto"/>
          <w:highlight w:val="none"/>
        </w:rPr>
      </w:pPr>
      <w:bookmarkStart w:id="513" w:name="_Toc28601"/>
      <w:bookmarkStart w:id="514" w:name="_Toc520823518"/>
      <w:bookmarkStart w:id="515" w:name="_Toc299889816"/>
      <w:bookmarkStart w:id="516" w:name="_Toc522140546"/>
      <w:r>
        <w:rPr>
          <w:rFonts w:hint="eastAsia"/>
          <w:color w:val="auto"/>
          <w:highlight w:val="none"/>
        </w:rPr>
        <w:t>8 工程验收</w:t>
      </w:r>
      <w:bookmarkEnd w:id="513"/>
      <w:bookmarkEnd w:id="514"/>
      <w:bookmarkEnd w:id="515"/>
      <w:bookmarkEnd w:id="516"/>
    </w:p>
    <w:p w14:paraId="6F07B917">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8.</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 xml:space="preserve">.1 </w:t>
      </w:r>
      <w:r>
        <w:rPr>
          <w:color w:val="auto"/>
          <w:highlight w:val="none"/>
        </w:rPr>
        <w:t>农田暗管排水工程属于地下隐蔽工程，必须进行竣工验收，竣工验收合格后，才能正式投</w:t>
      </w:r>
      <w:r>
        <w:rPr>
          <w:rFonts w:hint="eastAsia"/>
          <w:color w:val="auto"/>
          <w:highlight w:val="none"/>
          <w:lang w:eastAsia="zh-CN"/>
        </w:rPr>
        <w:t>入</w:t>
      </w:r>
      <w:bookmarkStart w:id="526" w:name="_GoBack"/>
      <w:bookmarkEnd w:id="526"/>
      <w:r>
        <w:rPr>
          <w:color w:val="auto"/>
          <w:highlight w:val="none"/>
        </w:rPr>
        <w:t>使用。对未经验收或验收不合格就投入使用的，要追究项目法定代表人的责任，造成重大损失的，要追究其法律责任。</w:t>
      </w:r>
    </w:p>
    <w:p w14:paraId="33A1E1CC">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8.</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.2</w:t>
      </w:r>
      <w:r>
        <w:rPr>
          <w:color w:val="auto"/>
          <w:highlight w:val="none"/>
        </w:rPr>
        <w:t xml:space="preserve"> 农田暗管排水工程验收按照《水利水电建设工程验收规程》（SL 223）的要求执行。</w:t>
      </w:r>
    </w:p>
    <w:p w14:paraId="1F99840F">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8.</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.3</w:t>
      </w:r>
      <w:r>
        <w:rPr>
          <w:rFonts w:hint="eastAsia"/>
          <w:color w:val="auto"/>
          <w:highlight w:val="none"/>
        </w:rPr>
        <w:t xml:space="preserve"> </w:t>
      </w:r>
      <w:r>
        <w:rPr>
          <w:color w:val="auto"/>
          <w:highlight w:val="none"/>
        </w:rPr>
        <w:t>重要部位和隐蔽工程是指排水暗管以及检查井、集水井、排水竖井等的基础和暗管出口建筑物。</w:t>
      </w:r>
    </w:p>
    <w:p w14:paraId="1E819673">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8.</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.4</w:t>
      </w:r>
      <w:r>
        <w:rPr>
          <w:color w:val="auto"/>
          <w:highlight w:val="none"/>
        </w:rPr>
        <w:t xml:space="preserve"> 工程施工中必须制定严格的检验制度，明确各项技术要求和职责。农田暗管排水工程中的重要部位和隐蔽工程，必须在施工期间验收，并填写记录和签证。</w:t>
      </w:r>
    </w:p>
    <w:p w14:paraId="35246002">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8.</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 xml:space="preserve">.5 </w:t>
      </w:r>
      <w:r>
        <w:rPr>
          <w:color w:val="auto"/>
          <w:highlight w:val="none"/>
        </w:rPr>
        <w:t>对于施工期间的验收，验收的重点是工程各部位的位置、尺寸、标高及基础处理和施工安装质量等方面。凡质量不合格的必须返工。</w:t>
      </w:r>
    </w:p>
    <w:p w14:paraId="3BBDF820">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8.</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.6</w:t>
      </w:r>
      <w:r>
        <w:rPr>
          <w:color w:val="auto"/>
          <w:highlight w:val="none"/>
        </w:rPr>
        <w:t xml:space="preserve"> 竣工验收中有关工程质量的结论性意见，是在工程质量评价的基础上，结合竣工验收程质量检查情况确定的，最终结论是工程质量是否合格。</w:t>
      </w:r>
    </w:p>
    <w:p w14:paraId="377C0E0F">
      <w:pPr>
        <w:keepNext w:val="0"/>
        <w:keepLines w:val="0"/>
        <w:pageBreakBefore w:val="0"/>
        <w:widowControl w:val="0"/>
        <w:kinsoku/>
        <w:wordWrap/>
        <w:overflowPunct/>
        <w:topLinePunct w:val="0"/>
        <w:autoSpaceDE/>
        <w:autoSpaceDN/>
        <w:bidi w:val="0"/>
        <w:adjustRightInd/>
        <w:snapToGrid/>
        <w:spacing w:line="240" w:lineRule="auto"/>
        <w:textAlignment w:val="auto"/>
        <w:rPr>
          <w:color w:val="auto"/>
          <w:highlight w:val="none"/>
        </w:rPr>
      </w:pPr>
      <w:r>
        <w:rPr>
          <w:rFonts w:hint="eastAsia" w:ascii="宋体" w:hAnsi="宋体" w:eastAsia="宋体" w:cs="宋体"/>
          <w:color w:val="auto"/>
          <w:highlight w:val="none"/>
        </w:rPr>
        <w:t>8.</w:t>
      </w:r>
      <w:r>
        <w:rPr>
          <w:rFonts w:hint="eastAsia" w:ascii="宋体" w:hAnsi="宋体" w:eastAsia="宋体" w:cs="宋体"/>
          <w:color w:val="auto"/>
          <w:highlight w:val="none"/>
          <w:lang w:val="en-US" w:eastAsia="zh-CN"/>
        </w:rPr>
        <w:t>1</w:t>
      </w:r>
      <w:r>
        <w:rPr>
          <w:rFonts w:hint="eastAsia" w:ascii="宋体" w:hAnsi="宋体" w:eastAsia="宋体" w:cs="宋体"/>
          <w:color w:val="auto"/>
          <w:highlight w:val="none"/>
        </w:rPr>
        <w:t>.7</w:t>
      </w:r>
      <w:r>
        <w:rPr>
          <w:color w:val="auto"/>
          <w:highlight w:val="none"/>
        </w:rPr>
        <w:t xml:space="preserve"> 工程建设的技术资料是工程运行管理的最基本资料，应存档妥善保管。</w:t>
      </w:r>
    </w:p>
    <w:p w14:paraId="473DC9B1">
      <w:pPr>
        <w:keepNext w:val="0"/>
        <w:keepLines w:val="0"/>
        <w:pageBreakBefore w:val="0"/>
        <w:widowControl w:val="0"/>
        <w:kinsoku/>
        <w:wordWrap/>
        <w:overflowPunct/>
        <w:topLinePunct w:val="0"/>
        <w:autoSpaceDE/>
        <w:autoSpaceDN/>
        <w:bidi w:val="0"/>
        <w:adjustRightInd/>
        <w:snapToGrid/>
        <w:spacing w:line="240" w:lineRule="auto"/>
        <w:ind w:firstLine="420" w:firstLineChars="200"/>
        <w:textAlignment w:val="auto"/>
        <w:rPr>
          <w:color w:val="auto"/>
          <w:highlight w:val="none"/>
        </w:rPr>
      </w:pPr>
      <w:r>
        <w:rPr>
          <w:color w:val="auto"/>
          <w:highlight w:val="none"/>
        </w:rPr>
        <w:t>关于管道铺设验收的主要</w:t>
      </w:r>
      <w:r>
        <w:rPr>
          <w:color w:val="auto"/>
          <w:sz w:val="21"/>
          <w:szCs w:val="21"/>
          <w:highlight w:val="none"/>
        </w:rPr>
        <w:t>内容有：①坡降符合设计规定；②管道顺直；③刚性管节</w:t>
      </w:r>
      <w:r>
        <w:rPr>
          <w:color w:val="auto"/>
          <w:highlight w:val="none"/>
        </w:rPr>
        <w:t>口紧靠等。</w:t>
      </w:r>
    </w:p>
    <w:p w14:paraId="1BF7A937">
      <w:pPr>
        <w:pStyle w:val="133"/>
        <w:numPr>
          <w:ilvl w:val="0"/>
          <w:numId w:val="0"/>
        </w:numPr>
        <w:spacing w:before="156" w:after="156"/>
        <w:rPr>
          <w:rFonts w:hint="eastAsia"/>
          <w:color w:val="auto"/>
          <w:highlight w:val="none"/>
        </w:rPr>
      </w:pPr>
      <w:bookmarkStart w:id="517" w:name="_Toc25709"/>
      <w:bookmarkStart w:id="518" w:name="_Toc24892"/>
      <w:bookmarkStart w:id="519" w:name="_Toc522140547"/>
      <w:bookmarkStart w:id="520" w:name="_Toc30486"/>
      <w:bookmarkStart w:id="521" w:name="_Toc17522"/>
      <w:bookmarkStart w:id="522" w:name="_Toc520823519"/>
      <w:bookmarkStart w:id="523" w:name="_Toc19271"/>
      <w:bookmarkStart w:id="524" w:name="_Toc16609"/>
      <w:bookmarkStart w:id="525" w:name="_Toc299889817"/>
      <w:r>
        <w:rPr>
          <w:rFonts w:hint="eastAsia"/>
          <w:color w:val="auto"/>
          <w:highlight w:val="none"/>
        </w:rPr>
        <w:t>9 工程管理与维护</w:t>
      </w:r>
      <w:bookmarkEnd w:id="517"/>
      <w:bookmarkEnd w:id="518"/>
      <w:bookmarkEnd w:id="519"/>
      <w:bookmarkEnd w:id="520"/>
      <w:bookmarkEnd w:id="521"/>
      <w:bookmarkEnd w:id="522"/>
      <w:bookmarkEnd w:id="523"/>
      <w:bookmarkEnd w:id="524"/>
      <w:bookmarkEnd w:id="525"/>
    </w:p>
    <w:p w14:paraId="57040E90">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 xml:space="preserve">9.1.1 </w:t>
      </w:r>
      <w:r>
        <w:rPr>
          <w:color w:val="auto"/>
          <w:highlight w:val="none"/>
        </w:rPr>
        <w:t>由于水利工程建设存在重灌溉轻排水，重建设轻管理的现象，造成一些排水工程年久失修、老化失效，不能发挥排水作用。随着灌区改造和高标准农田建设的开展，排水工程的管理巳逐步得到重视。对于没有管理机构的农田排水工程应逐步建立独立的管理机构。</w:t>
      </w:r>
    </w:p>
    <w:p w14:paraId="6CC9269C">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 xml:space="preserve">9.1.2 </w:t>
      </w:r>
      <w:r>
        <w:rPr>
          <w:color w:val="auto"/>
          <w:highlight w:val="none"/>
        </w:rPr>
        <w:t>管理经费是保证工程运行的经济支柱。由于农田排水工程的效益具有一定的社会公益性，因此，其运行维护经费应由项目区范围内的各级政府协同管理机构按照国家有关政策和法律法规予以落实。</w:t>
      </w:r>
    </w:p>
    <w:p w14:paraId="73C441FD">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 xml:space="preserve">9.1.3 </w:t>
      </w:r>
      <w:r>
        <w:rPr>
          <w:color w:val="auto"/>
          <w:highlight w:val="none"/>
        </w:rPr>
        <w:t>农田排水工程管理人员应具有相应的专业知识，包括农田水利、工程维修养护、经营管理等专业知识。</w:t>
      </w:r>
    </w:p>
    <w:p w14:paraId="589193EF">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 xml:space="preserve">9.1.4 </w:t>
      </w:r>
      <w:r>
        <w:rPr>
          <w:color w:val="auto"/>
          <w:highlight w:val="none"/>
        </w:rPr>
        <w:t>本条为农田排水工程管理的基本任务，是农田排水工程正常运行的重要保障。</w:t>
      </w:r>
    </w:p>
    <w:p w14:paraId="50ABB67D">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9.1.5</w:t>
      </w:r>
      <w:r>
        <w:rPr>
          <w:color w:val="auto"/>
          <w:highlight w:val="none"/>
        </w:rPr>
        <w:t xml:space="preserve"> </w:t>
      </w:r>
      <w:r>
        <w:rPr>
          <w:rFonts w:hint="eastAsia"/>
          <w:color w:val="auto"/>
          <w:highlight w:val="none"/>
        </w:rPr>
        <w:t xml:space="preserve"> </w:t>
      </w:r>
      <w:r>
        <w:rPr>
          <w:color w:val="auto"/>
          <w:highlight w:val="none"/>
        </w:rPr>
        <w:t>实施灌排一体化管理的项目区，将暗管排水用作农田灌溉水源时，应严格执行相关灌溉水质标准，水质不达标的，应采取措施进行处理。</w:t>
      </w:r>
    </w:p>
    <w:p w14:paraId="1CC35466">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 xml:space="preserve">9.2.1 </w:t>
      </w:r>
      <w:r>
        <w:rPr>
          <w:color w:val="auto"/>
          <w:highlight w:val="none"/>
        </w:rPr>
        <w:t>当明沟设置有暗管出口建筑物时，应重点予以保护。明沟多为土质沟道，自然淤积和生长杂草的情况多有发生，应视其淤堵阻水情况定期清理，一般要求干沟3-5年、支沟2-3年、斗农沟1-2年各清理一次，尤其对不稳定沟段应加强防护和维修工作。</w:t>
      </w:r>
    </w:p>
    <w:p w14:paraId="4A80A235">
      <w:pPr>
        <w:keepNext w:val="0"/>
        <w:keepLines w:val="0"/>
        <w:pageBreakBefore w:val="0"/>
        <w:kinsoku/>
        <w:wordWrap/>
        <w:overflowPunct/>
        <w:topLinePunct w:val="0"/>
        <w:bidi w:val="0"/>
        <w:spacing w:line="240" w:lineRule="auto"/>
        <w:textAlignment w:val="auto"/>
        <w:rPr>
          <w:rFonts w:hint="eastAsia"/>
          <w:color w:val="auto"/>
          <w:highlight w:val="none"/>
          <w:lang w:val="en-US" w:eastAsia="zh-CN"/>
        </w:rPr>
      </w:pPr>
      <w:r>
        <w:rPr>
          <w:rFonts w:hint="eastAsia" w:ascii="宋体" w:hAnsi="宋体" w:eastAsia="宋体" w:cs="宋体"/>
          <w:color w:val="auto"/>
          <w:highlight w:val="none"/>
        </w:rPr>
        <w:t xml:space="preserve">9.2.2 </w:t>
      </w:r>
      <w:r>
        <w:rPr>
          <w:color w:val="auto"/>
          <w:highlight w:val="none"/>
        </w:rPr>
        <w:t>当暗管出流量明显减少或含沙量明显增大时，多为发生淤堵的征兆，暗管排水工程的一般淤堵可采用人工或机械冲淤清理。通常可在高地下水位时，先关闭暗管出口，并降低集水沟水位，然后再快速开启暗管口门进行水力自动冲淤；或者将暗管尾部挖出，将压力水流接入暗管进行冲洗。若出流量很小甚至不出流时，在缺乏管道故障探测设备情况下，可沿管线一侧打几眼观测孔，分析地下水面线的变化规律，根据其反常现象，判断可能的淤堵部位后，再在其下游开挖一个检查坑，取出一节暗管，若有水流涌出，表明淤堵位置在其下游，否则在其上游。据此方法可确定出严重淤堵或损坏的管段，应进行清理或更换，并严格回填复原。</w:t>
      </w:r>
      <w:r>
        <w:rPr>
          <w:rFonts w:hint="eastAsia"/>
          <w:color w:val="auto"/>
          <w:highlight w:val="none"/>
          <w:lang w:val="en-US" w:eastAsia="zh-CN"/>
        </w:rPr>
        <w:t>提倡采用先进探测仪器和非开挖修复技术进行检查与维修。</w:t>
      </w:r>
    </w:p>
    <w:p w14:paraId="591C721C">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 xml:space="preserve">9.3.1 </w:t>
      </w:r>
      <w:r>
        <w:rPr>
          <w:color w:val="auto"/>
          <w:highlight w:val="none"/>
        </w:rPr>
        <w:t>暗管排水项目区根据作物种植类型、灌溉排水模式和暗管排水的作用等因素，采取不同的管理方式。</w:t>
      </w:r>
    </w:p>
    <w:p w14:paraId="6B721EE4">
      <w:pPr>
        <w:keepNext w:val="0"/>
        <w:keepLines w:val="0"/>
        <w:pageBreakBefore w:val="0"/>
        <w:kinsoku/>
        <w:wordWrap/>
        <w:overflowPunct/>
        <w:topLinePunct w:val="0"/>
        <w:bidi w:val="0"/>
        <w:spacing w:line="240" w:lineRule="auto"/>
        <w:ind w:firstLine="420" w:firstLineChars="200"/>
        <w:textAlignment w:val="auto"/>
        <w:rPr>
          <w:color w:val="auto"/>
          <w:highlight w:val="none"/>
        </w:rPr>
      </w:pPr>
      <w:r>
        <w:rPr>
          <w:color w:val="auto"/>
          <w:highlight w:val="none"/>
        </w:rPr>
        <w:t>（1）稻作区水稻晒田和落干的主要作用分别是控制无效分蘖和有利收割。若遇阴雨天气，通过田间地下排水也可达到上述目的；若为晴天时，须注意避免因晒田过度而造成水稻生理缺水和伤害根系，或落干过早而影响籽粒饱满和产量。因此，应视气候和排水要求进行排水。水稻淹灌期在理论上应按适宜渗漏率进行排水控制，但因每年的气候和水稻生长情况不尽相同，所以尚应结合田间水管理要求进行排水。如干旱年应节制排水，丰水年应充分排水等。雨后和施肥后为了防止肥料流失应控制排水；</w:t>
      </w:r>
    </w:p>
    <w:p w14:paraId="3CE92A4E">
      <w:pPr>
        <w:keepNext w:val="0"/>
        <w:keepLines w:val="0"/>
        <w:pageBreakBefore w:val="0"/>
        <w:kinsoku/>
        <w:wordWrap/>
        <w:overflowPunct/>
        <w:topLinePunct w:val="0"/>
        <w:bidi w:val="0"/>
        <w:spacing w:line="240" w:lineRule="auto"/>
        <w:ind w:firstLine="420" w:firstLineChars="200"/>
        <w:textAlignment w:val="auto"/>
        <w:rPr>
          <w:color w:val="auto"/>
          <w:highlight w:val="none"/>
        </w:rPr>
      </w:pPr>
      <w:r>
        <w:rPr>
          <w:color w:val="auto"/>
          <w:highlight w:val="none"/>
        </w:rPr>
        <w:t>（2）旱作区的地下水适宜埋深在涝渍地区为耐溃深度，盐碱地区通常为临界深度。灌溉、降雨后升高的地下水位降速要求，应根据本规范有关规定确定。在干旱季节通常宜关闭排水控制设施，使地下水位得到一定程度的抬高，以利抗旱保墒。但在盐碱化威胁地区，必须加强中耕松土和注意对地下水位的调控，严防土壤返盐而危害作物生长；</w:t>
      </w:r>
    </w:p>
    <w:p w14:paraId="49B151CD">
      <w:pPr>
        <w:keepNext w:val="0"/>
        <w:keepLines w:val="0"/>
        <w:pageBreakBefore w:val="0"/>
        <w:kinsoku/>
        <w:wordWrap/>
        <w:overflowPunct/>
        <w:topLinePunct w:val="0"/>
        <w:bidi w:val="0"/>
        <w:spacing w:line="240" w:lineRule="auto"/>
        <w:ind w:firstLine="420" w:firstLineChars="200"/>
        <w:textAlignment w:val="auto"/>
        <w:rPr>
          <w:color w:val="auto"/>
          <w:highlight w:val="none"/>
        </w:rPr>
      </w:pPr>
      <w:r>
        <w:rPr>
          <w:color w:val="auto"/>
          <w:highlight w:val="none"/>
        </w:rPr>
        <w:t>（3）竖井调控地下水的适宜深度应根据防治涝渍和盐碱的要求确定，通常在旱季可多开采利用地下水进行灌溉，使雨季到来前有较大的降深，以利于汛期增加降雨人渗补给量，减少地面径流和预防涝渍灾害，以及增大土壤盐分的淋洗深度。据黄淮海平原资料，防涝蓄水深度宜采用4〜6m，但汛前地下水的最低水位应在机泵吸程之内。</w:t>
      </w:r>
    </w:p>
    <w:p w14:paraId="1BEF68AF">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 xml:space="preserve">9.3.2 </w:t>
      </w:r>
      <w:r>
        <w:rPr>
          <w:rFonts w:hint="eastAsia"/>
          <w:color w:val="auto"/>
          <w:highlight w:val="none"/>
        </w:rPr>
        <w:t xml:space="preserve"> </w:t>
      </w:r>
      <w:r>
        <w:rPr>
          <w:color w:val="auto"/>
          <w:highlight w:val="none"/>
        </w:rPr>
        <w:t>排水系统在正常运用情况下，只能治理设计标准条件下的涝溃、盐碱灾害，若发生超标准暴雨，往往需要改变正常运行方案，而根据当时的具体情况确定非常规运行方案，从而将涝灾损失及影响减至最小程度。在确定非常规运行方案时，仅考虑排涝是不够的，还应结合涝溃相伴或涝碱相随的自然特点，提出全面的减灾避灾措施，例如土壤盐分较重的农田，宜适当蓄水淋洗，既可减轻排涝任务，又有利于土壤改良；在涝水排除后，加速降低地下水位，则可防止涝后土壤返盐。</w:t>
      </w:r>
    </w:p>
    <w:p w14:paraId="527A5B0C">
      <w:pPr>
        <w:keepNext w:val="0"/>
        <w:keepLines w:val="0"/>
        <w:pageBreakBefore w:val="0"/>
        <w:kinsoku/>
        <w:wordWrap/>
        <w:overflowPunct/>
        <w:topLinePunct w:val="0"/>
        <w:bidi w:val="0"/>
        <w:spacing w:line="240" w:lineRule="auto"/>
        <w:textAlignment w:val="auto"/>
        <w:rPr>
          <w:color w:val="auto"/>
          <w:highlight w:val="none"/>
        </w:rPr>
      </w:pPr>
      <w:r>
        <w:rPr>
          <w:rFonts w:hint="eastAsia" w:ascii="宋体" w:hAnsi="宋体" w:eastAsia="宋体" w:cs="宋体"/>
          <w:color w:val="auto"/>
          <w:highlight w:val="none"/>
        </w:rPr>
        <w:t xml:space="preserve">9.4.1 </w:t>
      </w:r>
      <w:r>
        <w:rPr>
          <w:rFonts w:hint="eastAsia"/>
          <w:color w:val="auto"/>
          <w:highlight w:val="none"/>
        </w:rPr>
        <w:t xml:space="preserve"> </w:t>
      </w:r>
      <w:r>
        <w:rPr>
          <w:color w:val="auto"/>
          <w:highlight w:val="none"/>
        </w:rPr>
        <w:t>排水监测是管理机构的一项重要任务。通过排水监测，不但可以检验工程的建设质量、排水功能、排水标准和治理涝渍、盐碱的效果，而且可以逐步积累实践经验和实测资料，为改进和提高我国排水工程的建设和管理水平提供科学依据。</w:t>
      </w:r>
    </w:p>
    <w:p w14:paraId="146692CF">
      <w:pPr>
        <w:pStyle w:val="25"/>
        <w:keepNext w:val="0"/>
        <w:keepLines w:val="0"/>
        <w:pageBreakBefore w:val="0"/>
        <w:widowControl/>
        <w:numPr>
          <w:ilvl w:val="0"/>
          <w:numId w:val="0"/>
        </w:numPr>
        <w:kinsoku/>
        <w:wordWrap/>
        <w:overflowPunct/>
        <w:topLinePunct w:val="0"/>
        <w:autoSpaceDE w:val="0"/>
        <w:autoSpaceDN w:val="0"/>
        <w:bidi w:val="0"/>
        <w:adjustRightInd w:val="0"/>
        <w:snapToGrid w:val="0"/>
        <w:spacing w:line="240" w:lineRule="auto"/>
        <w:jc w:val="both"/>
        <w:textAlignment w:val="auto"/>
        <w:rPr>
          <w:rFonts w:hint="eastAsia"/>
          <w:color w:val="auto"/>
          <w:highlight w:val="none"/>
        </w:rPr>
      </w:pPr>
      <w:r>
        <w:rPr>
          <w:rFonts w:hint="eastAsia" w:ascii="宋体" w:hAnsi="宋体" w:eastAsia="宋体" w:cs="宋体"/>
          <w:color w:val="auto"/>
          <w:highlight w:val="none"/>
        </w:rPr>
        <w:t xml:space="preserve">9.5.3 </w:t>
      </w:r>
      <w:r>
        <w:rPr>
          <w:rFonts w:hint="eastAsia"/>
          <w:color w:val="auto"/>
          <w:highlight w:val="none"/>
        </w:rPr>
        <w:t>信息化管理是今后灌区农田水利工程管理的发展方向，实现信息共享是信息化管理的主要目标之一。因此，借助宁夏农村水利管理系统平台是实现上述目标的一条有效途径。</w:t>
      </w:r>
    </w:p>
    <w:sectPr>
      <w:headerReference r:id="rId9" w:type="default"/>
      <w:footerReference r:id="rId10" w:type="default"/>
      <w:pgSz w:w="11906" w:h="16838"/>
      <w:pgMar w:top="567" w:right="1134" w:bottom="1134" w:left="1418" w:header="1418" w:footer="1134" w:gutter="0"/>
      <w:pgNumType w:start="1"/>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MingLiU">
    <w:panose1 w:val="02020509000000000000"/>
    <w:charset w:val="88"/>
    <w:family w:val="modern"/>
    <w:pitch w:val="default"/>
    <w:sig w:usb0="A00002FF" w:usb1="28CFFCFA" w:usb2="00000016" w:usb3="00000000" w:csb0="00100001" w:csb1="00000000"/>
  </w:font>
  <w:font w:name="MS Mincho">
    <w:panose1 w:val="02020609040205080304"/>
    <w:charset w:val="80"/>
    <w:family w:val="modern"/>
    <w:pitch w:val="default"/>
    <w:sig w:usb0="E00002FF" w:usb1="6AC7FDFB" w:usb2="00000012" w:usb3="00000000" w:csb0="4002009F" w:csb1="DFD70000"/>
  </w:font>
  <w:font w:name="华文宋体">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AD8E9C">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BA128">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A3C9FD">
    <w:pPr>
      <w:pStyle w:val="1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4E621B">
    <w:pPr>
      <w:pStyle w:val="156"/>
    </w:pPr>
    <w:r>
      <w:fldChar w:fldCharType="begin"/>
    </w:r>
    <w:r>
      <w:instrText xml:space="preserve"> PAGE  \* MERGEFORMAT </w:instrText>
    </w:r>
    <w:r>
      <w:fldChar w:fldCharType="separate"/>
    </w:r>
    <w:r>
      <w:t>59</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A3896B">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8E1DBB">
    <w:pPr>
      <w:pStyle w:val="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AE3E05">
    <w:pPr>
      <w:pStyle w:val="2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9C9715">
    <w:pPr>
      <w:pStyle w:val="149"/>
    </w:pPr>
    <w:r>
      <w:t>DBXX/ XXXXX—XXXX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147"/>
      <w:suff w:val="nothing"/>
      <w:lvlText w:val="注%1："/>
      <w:lvlJc w:val="left"/>
      <w:pPr>
        <w:ind w:left="811" w:hanging="448"/>
      </w:pPr>
      <w:rPr>
        <w:rFonts w:hint="eastAsia" w:ascii="黑体" w:hAns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93C6778"/>
    <w:multiLevelType w:val="multilevel"/>
    <w:tmpl w:val="093C6778"/>
    <w:lvl w:ilvl="0" w:tentative="0">
      <w:start w:val="1"/>
      <w:numFmt w:val="decimal"/>
      <w:pStyle w:val="65"/>
      <w:suff w:val="nothing"/>
      <w:lvlText w:val="示例%1："/>
      <w:lvlJc w:val="left"/>
      <w:pPr>
        <w:ind w:left="0" w:firstLine="397"/>
      </w:pPr>
      <w:rPr>
        <w:rFonts w:hint="eastAsia" w:ascii="黑体" w:eastAsia="黑体"/>
        <w:sz w:val="18"/>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
    <w:nsid w:val="0AE367E9"/>
    <w:multiLevelType w:val="multilevel"/>
    <w:tmpl w:val="0AE367E9"/>
    <w:lvl w:ilvl="0" w:tentative="0">
      <w:start w:val="1"/>
      <w:numFmt w:val="none"/>
      <w:pStyle w:val="154"/>
      <w:suff w:val="nothing"/>
      <w:lvlText w:val="%1示例："/>
      <w:lvlJc w:val="left"/>
      <w:pPr>
        <w:ind w:left="0" w:firstLine="363"/>
      </w:pPr>
      <w:rPr>
        <w:rFonts w:hint="eastAsia" w:ascii="黑体" w:eastAsia="黑体"/>
        <w:b w:val="0"/>
        <w:i w:val="0"/>
        <w:sz w:val="18"/>
        <w:szCs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3">
    <w:nsid w:val="0DDE2B46"/>
    <w:multiLevelType w:val="multilevel"/>
    <w:tmpl w:val="0DDE2B46"/>
    <w:lvl w:ilvl="0" w:tentative="0">
      <w:start w:val="1"/>
      <w:numFmt w:val="lowerLetter"/>
      <w:pStyle w:val="136"/>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4">
    <w:nsid w:val="1DBF583A"/>
    <w:multiLevelType w:val="multilevel"/>
    <w:tmpl w:val="1DBF583A"/>
    <w:lvl w:ilvl="0" w:tentative="0">
      <w:start w:val="1"/>
      <w:numFmt w:val="decimal"/>
      <w:pStyle w:val="84"/>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5">
    <w:nsid w:val="1FC91163"/>
    <w:multiLevelType w:val="multilevel"/>
    <w:tmpl w:val="1FC91163"/>
    <w:lvl w:ilvl="0" w:tentative="0">
      <w:start w:val="1"/>
      <w:numFmt w:val="decimal"/>
      <w:pStyle w:val="90"/>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71"/>
      <w:suff w:val="nothing"/>
      <w:lvlText w:val="%1.%2　"/>
      <w:lvlJc w:val="left"/>
      <w:pPr>
        <w:ind w:left="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70"/>
      <w:suff w:val="nothing"/>
      <w:lvlText w:val="%1.%2.%3　"/>
      <w:lvlJc w:val="left"/>
      <w:pPr>
        <w:ind w:left="0" w:firstLine="0"/>
      </w:pPr>
      <w:rPr>
        <w:rFonts w:ascii="宋体" w:hAnsi="宋体" w:eastAsia="宋体"/>
        <w:b w:val="0"/>
        <w:bCs/>
        <w:sz w:val="21"/>
        <w:szCs w:val="21"/>
      </w:rPr>
    </w:lvl>
    <w:lvl w:ilvl="3" w:tentative="0">
      <w:start w:val="1"/>
      <w:numFmt w:val="decimal"/>
      <w:pStyle w:val="97"/>
      <w:suff w:val="nothing"/>
      <w:lvlText w:val="%1.%2.%3.%4　"/>
      <w:lvlJc w:val="left"/>
      <w:pPr>
        <w:ind w:left="-1134" w:firstLine="0"/>
      </w:pPr>
      <w:rPr>
        <w:rFonts w:hint="eastAsia" w:ascii="黑体" w:hAnsi="Times New Roman" w:eastAsia="黑体"/>
        <w:b w:val="0"/>
        <w:i w:val="0"/>
        <w:sz w:val="21"/>
      </w:rPr>
    </w:lvl>
    <w:lvl w:ilvl="4" w:tentative="0">
      <w:start w:val="1"/>
      <w:numFmt w:val="decimal"/>
      <w:pStyle w:val="96"/>
      <w:suff w:val="nothing"/>
      <w:lvlText w:val="%1.%2.%3.%4.%5　"/>
      <w:lvlJc w:val="left"/>
      <w:pPr>
        <w:ind w:left="-1134" w:firstLine="0"/>
      </w:pPr>
      <w:rPr>
        <w:rFonts w:hint="eastAsia" w:ascii="黑体" w:hAnsi="Times New Roman" w:eastAsia="黑体"/>
        <w:b w:val="0"/>
        <w:i w:val="0"/>
        <w:sz w:val="21"/>
      </w:rPr>
    </w:lvl>
    <w:lvl w:ilvl="5" w:tentative="0">
      <w:start w:val="1"/>
      <w:numFmt w:val="decimal"/>
      <w:pStyle w:val="145"/>
      <w:suff w:val="nothing"/>
      <w:lvlText w:val="%1.%2.%3.%4.%5.%6　"/>
      <w:lvlJc w:val="left"/>
      <w:pPr>
        <w:ind w:left="-1134" w:firstLine="0"/>
      </w:pPr>
      <w:rPr>
        <w:rFonts w:hint="eastAsia" w:ascii="黑体" w:hAnsi="Times New Roman" w:eastAsia="黑体"/>
        <w:b w:val="0"/>
        <w:i w:val="0"/>
        <w:sz w:val="21"/>
      </w:rPr>
    </w:lvl>
    <w:lvl w:ilvl="6" w:tentative="0">
      <w:start w:val="1"/>
      <w:numFmt w:val="decimal"/>
      <w:suff w:val="nothing"/>
      <w:lvlText w:val="%1%2.%3.%4.%5.%6.%7　"/>
      <w:lvlJc w:val="left"/>
      <w:pPr>
        <w:ind w:left="-1134" w:firstLine="0"/>
      </w:pPr>
      <w:rPr>
        <w:rFonts w:hint="eastAsia" w:ascii="黑体" w:hAnsi="Times New Roman" w:eastAsia="黑体"/>
        <w:b w:val="0"/>
        <w:i w:val="0"/>
        <w:sz w:val="21"/>
      </w:rPr>
    </w:lvl>
    <w:lvl w:ilvl="7" w:tentative="0">
      <w:start w:val="1"/>
      <w:numFmt w:val="decimal"/>
      <w:lvlText w:val="%1.%2.%3.%4.%5.%6.%7.%8"/>
      <w:lvlJc w:val="left"/>
      <w:pPr>
        <w:tabs>
          <w:tab w:val="left" w:pos="3217"/>
        </w:tabs>
        <w:ind w:left="2835" w:hanging="1418"/>
      </w:pPr>
      <w:rPr>
        <w:rFonts w:hint="eastAsia"/>
      </w:rPr>
    </w:lvl>
    <w:lvl w:ilvl="8" w:tentative="0">
      <w:start w:val="1"/>
      <w:numFmt w:val="decimal"/>
      <w:lvlText w:val="%1.%2.%3.%4.%5.%6.%7.%8.%9"/>
      <w:lvlJc w:val="left"/>
      <w:pPr>
        <w:tabs>
          <w:tab w:val="left" w:pos="3643"/>
        </w:tabs>
        <w:ind w:left="3543" w:hanging="1700"/>
      </w:pPr>
      <w:rPr>
        <w:rFonts w:hint="eastAsia"/>
      </w:rPr>
    </w:lvl>
  </w:abstractNum>
  <w:abstractNum w:abstractNumId="6">
    <w:nsid w:val="2A8F7113"/>
    <w:multiLevelType w:val="multilevel"/>
    <w:tmpl w:val="2A8F7113"/>
    <w:lvl w:ilvl="0" w:tentative="0">
      <w:start w:val="1"/>
      <w:numFmt w:val="upperLetter"/>
      <w:pStyle w:val="103"/>
      <w:suff w:val="space"/>
      <w:lvlText w:val="%1"/>
      <w:lvlJc w:val="left"/>
      <w:pPr>
        <w:ind w:left="623" w:hanging="425"/>
      </w:pPr>
      <w:rPr>
        <w:rFonts w:hint="eastAsia"/>
      </w:rPr>
    </w:lvl>
    <w:lvl w:ilvl="1" w:tentative="0">
      <w:start w:val="1"/>
      <w:numFmt w:val="decimal"/>
      <w:pStyle w:val="126"/>
      <w:suff w:val="nothing"/>
      <w:lvlText w:val="图%1.%2　"/>
      <w:lvlJc w:val="left"/>
      <w:pPr>
        <w:ind w:left="4032"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7">
    <w:nsid w:val="2C5917C3"/>
    <w:multiLevelType w:val="multilevel"/>
    <w:tmpl w:val="2C5917C3"/>
    <w:lvl w:ilvl="0" w:tentative="0">
      <w:start w:val="1"/>
      <w:numFmt w:val="none"/>
      <w:pStyle w:val="157"/>
      <w:suff w:val="nothing"/>
      <w:lvlText w:val="%1——"/>
      <w:lvlJc w:val="left"/>
      <w:pPr>
        <w:ind w:left="833" w:hanging="408"/>
      </w:pPr>
      <w:rPr>
        <w:rFonts w:hint="eastAsia"/>
      </w:rPr>
    </w:lvl>
    <w:lvl w:ilvl="1" w:tentative="0">
      <w:start w:val="1"/>
      <w:numFmt w:val="bullet"/>
      <w:pStyle w:val="143"/>
      <w:lvlText w:val=""/>
      <w:lvlJc w:val="left"/>
      <w:pPr>
        <w:tabs>
          <w:tab w:val="left" w:pos="760"/>
        </w:tabs>
        <w:ind w:left="1264" w:hanging="413"/>
      </w:pPr>
      <w:rPr>
        <w:rFonts w:hint="default" w:ascii="Symbol" w:hAnsi="Symbol"/>
        <w:color w:val="auto"/>
      </w:rPr>
    </w:lvl>
    <w:lvl w:ilvl="2" w:tentative="0">
      <w:start w:val="1"/>
      <w:numFmt w:val="bullet"/>
      <w:pStyle w:val="135"/>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8">
    <w:nsid w:val="3D733618"/>
    <w:multiLevelType w:val="multilevel"/>
    <w:tmpl w:val="3D733618"/>
    <w:lvl w:ilvl="0" w:tentative="0">
      <w:start w:val="1"/>
      <w:numFmt w:val="decimal"/>
      <w:pStyle w:val="26"/>
      <w:lvlText w:val="%1)"/>
      <w:lvlJc w:val="left"/>
      <w:pPr>
        <w:tabs>
          <w:tab w:val="left" w:pos="0"/>
        </w:tabs>
        <w:ind w:left="720" w:hanging="357"/>
      </w:pPr>
      <w:rPr>
        <w:rFonts w:hint="eastAsia"/>
      </w:rPr>
    </w:lvl>
    <w:lvl w:ilvl="1" w:tentative="0">
      <w:start w:val="1"/>
      <w:numFmt w:val="lowerLetter"/>
      <w:lvlText w:val="%2)"/>
      <w:lvlJc w:val="left"/>
      <w:pPr>
        <w:tabs>
          <w:tab w:val="left" w:pos="504"/>
        </w:tabs>
        <w:ind w:left="544" w:hanging="544"/>
      </w:pPr>
      <w:rPr>
        <w:rFonts w:hint="eastAsia"/>
      </w:rPr>
    </w:lvl>
    <w:lvl w:ilvl="2" w:tentative="0">
      <w:start w:val="1"/>
      <w:numFmt w:val="lowerRoman"/>
      <w:lvlText w:val="%3."/>
      <w:lvlJc w:val="right"/>
      <w:pPr>
        <w:tabs>
          <w:tab w:val="left" w:pos="532"/>
        </w:tabs>
        <w:ind w:left="544" w:hanging="544"/>
      </w:pPr>
      <w:rPr>
        <w:rFonts w:hint="eastAsia"/>
      </w:rPr>
    </w:lvl>
    <w:lvl w:ilvl="3" w:tentative="0">
      <w:start w:val="1"/>
      <w:numFmt w:val="decimal"/>
      <w:lvlText w:val="%4."/>
      <w:lvlJc w:val="left"/>
      <w:pPr>
        <w:tabs>
          <w:tab w:val="left" w:pos="560"/>
        </w:tabs>
        <w:ind w:left="544" w:hanging="544"/>
      </w:pPr>
      <w:rPr>
        <w:rFonts w:hint="eastAsia"/>
      </w:rPr>
    </w:lvl>
    <w:lvl w:ilvl="4" w:tentative="0">
      <w:start w:val="1"/>
      <w:numFmt w:val="lowerLetter"/>
      <w:lvlText w:val="%5)"/>
      <w:lvlJc w:val="left"/>
      <w:pPr>
        <w:tabs>
          <w:tab w:val="left" w:pos="588"/>
        </w:tabs>
        <w:ind w:left="544" w:hanging="544"/>
      </w:pPr>
      <w:rPr>
        <w:rFonts w:hint="eastAsia"/>
      </w:rPr>
    </w:lvl>
    <w:lvl w:ilvl="5" w:tentative="0">
      <w:start w:val="1"/>
      <w:numFmt w:val="lowerRoman"/>
      <w:lvlText w:val="%6."/>
      <w:lvlJc w:val="right"/>
      <w:pPr>
        <w:tabs>
          <w:tab w:val="left" w:pos="616"/>
        </w:tabs>
        <w:ind w:left="544" w:hanging="544"/>
      </w:pPr>
      <w:rPr>
        <w:rFonts w:hint="eastAsia"/>
      </w:rPr>
    </w:lvl>
    <w:lvl w:ilvl="6" w:tentative="0">
      <w:start w:val="1"/>
      <w:numFmt w:val="decimal"/>
      <w:lvlText w:val="%7."/>
      <w:lvlJc w:val="left"/>
      <w:pPr>
        <w:tabs>
          <w:tab w:val="left" w:pos="644"/>
        </w:tabs>
        <w:ind w:left="544" w:hanging="544"/>
      </w:pPr>
      <w:rPr>
        <w:rFonts w:hint="eastAsia"/>
      </w:rPr>
    </w:lvl>
    <w:lvl w:ilvl="7" w:tentative="0">
      <w:start w:val="1"/>
      <w:numFmt w:val="lowerLetter"/>
      <w:lvlText w:val="%8)"/>
      <w:lvlJc w:val="left"/>
      <w:pPr>
        <w:tabs>
          <w:tab w:val="left" w:pos="672"/>
        </w:tabs>
        <w:ind w:left="544" w:hanging="544"/>
      </w:pPr>
      <w:rPr>
        <w:rFonts w:hint="eastAsia"/>
      </w:rPr>
    </w:lvl>
    <w:lvl w:ilvl="8" w:tentative="0">
      <w:start w:val="1"/>
      <w:numFmt w:val="lowerRoman"/>
      <w:lvlText w:val="%9."/>
      <w:lvlJc w:val="right"/>
      <w:pPr>
        <w:tabs>
          <w:tab w:val="left" w:pos="700"/>
        </w:tabs>
        <w:ind w:left="544" w:hanging="544"/>
      </w:pPr>
      <w:rPr>
        <w:rFonts w:hint="eastAsia"/>
      </w:rPr>
    </w:lvl>
  </w:abstractNum>
  <w:abstractNum w:abstractNumId="9">
    <w:nsid w:val="44C50F90"/>
    <w:multiLevelType w:val="multilevel"/>
    <w:tmpl w:val="44C50F90"/>
    <w:lvl w:ilvl="0" w:tentative="0">
      <w:start w:val="1"/>
      <w:numFmt w:val="decimal"/>
      <w:pStyle w:val="85"/>
      <w:lvlText w:val="%1)"/>
      <w:lvlJc w:val="left"/>
      <w:pPr>
        <w:tabs>
          <w:tab w:val="left" w:pos="845"/>
        </w:tabs>
        <w:ind w:left="845" w:hanging="419"/>
      </w:pPr>
      <w:rPr>
        <w:rFonts w:hint="default" w:ascii="Times New Roman" w:hAnsi="Times New Roman" w:cs="Times New Roman"/>
        <w:b w:val="0"/>
        <w:i w:val="0"/>
        <w:sz w:val="21"/>
        <w:szCs w:val="21"/>
      </w:rPr>
    </w:lvl>
    <w:lvl w:ilvl="1" w:tentative="0">
      <w:start w:val="1"/>
      <w:numFmt w:val="decimal"/>
      <w:pStyle w:val="105"/>
      <w:lvlText w:val="%2)"/>
      <w:lvlJc w:val="left"/>
      <w:pPr>
        <w:tabs>
          <w:tab w:val="left" w:pos="1265"/>
        </w:tabs>
        <w:ind w:left="1265" w:hanging="420"/>
      </w:pPr>
      <w:rPr>
        <w:rFonts w:hint="eastAsia" w:ascii="宋体" w:hAnsi="宋体" w:eastAsia="宋体"/>
        <w:b w:val="0"/>
        <w:i w:val="0"/>
        <w:sz w:val="20"/>
      </w:rPr>
    </w:lvl>
    <w:lvl w:ilvl="2" w:tentative="0">
      <w:start w:val="1"/>
      <w:numFmt w:val="decimal"/>
      <w:pStyle w:val="86"/>
      <w:lvlText w:val="(%3)"/>
      <w:lvlJc w:val="left"/>
      <w:pPr>
        <w:tabs>
          <w:tab w:val="left" w:pos="6"/>
        </w:tabs>
        <w:ind w:left="1684" w:hanging="419"/>
      </w:pPr>
      <w:rPr>
        <w:rFonts w:hint="default" w:ascii="Times New Roman" w:hAnsi="Times New Roman" w:eastAsia="宋体" w:cs="Times New Roman"/>
        <w:b w:val="0"/>
        <w:i w:val="0"/>
        <w:sz w:val="21"/>
        <w:szCs w:val="21"/>
      </w:rPr>
    </w:lvl>
    <w:lvl w:ilvl="3" w:tentative="0">
      <w:start w:val="1"/>
      <w:numFmt w:val="decimal"/>
      <w:lvlText w:val="%4."/>
      <w:lvlJc w:val="left"/>
      <w:pPr>
        <w:tabs>
          <w:tab w:val="left" w:pos="2104"/>
        </w:tabs>
        <w:ind w:left="2104" w:hanging="420"/>
      </w:pPr>
      <w:rPr>
        <w:rFonts w:hint="eastAsia"/>
      </w:rPr>
    </w:lvl>
    <w:lvl w:ilvl="4" w:tentative="0">
      <w:start w:val="1"/>
      <w:numFmt w:val="lowerLetter"/>
      <w:lvlText w:val="%5)"/>
      <w:lvlJc w:val="left"/>
      <w:pPr>
        <w:tabs>
          <w:tab w:val="left" w:pos="2523"/>
        </w:tabs>
        <w:ind w:left="2523" w:hanging="419"/>
      </w:pPr>
      <w:rPr>
        <w:rFonts w:hint="eastAsia"/>
      </w:rPr>
    </w:lvl>
    <w:lvl w:ilvl="5" w:tentative="0">
      <w:start w:val="1"/>
      <w:numFmt w:val="lowerRoman"/>
      <w:lvlText w:val="%6."/>
      <w:lvlJc w:val="right"/>
      <w:pPr>
        <w:tabs>
          <w:tab w:val="left" w:pos="2948"/>
        </w:tabs>
        <w:ind w:left="2943" w:hanging="420"/>
      </w:pPr>
      <w:rPr>
        <w:rFonts w:hint="eastAsia"/>
      </w:rPr>
    </w:lvl>
    <w:lvl w:ilvl="6" w:tentative="0">
      <w:start w:val="1"/>
      <w:numFmt w:val="decimal"/>
      <w:lvlText w:val="%7."/>
      <w:lvlJc w:val="left"/>
      <w:pPr>
        <w:tabs>
          <w:tab w:val="left" w:pos="3368"/>
        </w:tabs>
        <w:ind w:left="3362" w:hanging="414"/>
      </w:pPr>
      <w:rPr>
        <w:rFonts w:hint="eastAsia"/>
      </w:rPr>
    </w:lvl>
    <w:lvl w:ilvl="7" w:tentative="0">
      <w:start w:val="1"/>
      <w:numFmt w:val="lowerLetter"/>
      <w:lvlText w:val="%8)"/>
      <w:lvlJc w:val="left"/>
      <w:pPr>
        <w:tabs>
          <w:tab w:val="left" w:pos="3787"/>
        </w:tabs>
        <w:ind w:left="3782" w:hanging="414"/>
      </w:pPr>
      <w:rPr>
        <w:rFonts w:hint="eastAsia"/>
      </w:rPr>
    </w:lvl>
    <w:lvl w:ilvl="8" w:tentative="0">
      <w:start w:val="1"/>
      <w:numFmt w:val="lowerRoman"/>
      <w:lvlText w:val="%9."/>
      <w:lvlJc w:val="right"/>
      <w:pPr>
        <w:tabs>
          <w:tab w:val="left" w:pos="4207"/>
        </w:tabs>
        <w:ind w:left="4207" w:hanging="420"/>
      </w:pPr>
      <w:rPr>
        <w:rFonts w:hint="eastAsia"/>
      </w:rPr>
    </w:lvl>
  </w:abstractNum>
  <w:abstractNum w:abstractNumId="10">
    <w:nsid w:val="4B733A5F"/>
    <w:multiLevelType w:val="multilevel"/>
    <w:tmpl w:val="4B733A5F"/>
    <w:lvl w:ilvl="0" w:tentative="0">
      <w:start w:val="1"/>
      <w:numFmt w:val="decimal"/>
      <w:pStyle w:val="130"/>
      <w:suff w:val="nothing"/>
      <w:lvlText w:val="示例%1："/>
      <w:lvlJc w:val="left"/>
      <w:pPr>
        <w:ind w:left="0" w:firstLine="363"/>
      </w:pPr>
      <w:rPr>
        <w:rFonts w:hint="eastAsia" w:ascii="黑体" w:hAnsi="Times New Roman" w:eastAsia="黑体"/>
        <w:b w:val="0"/>
        <w:i w:val="0"/>
        <w:sz w:val="18"/>
        <w:szCs w:val="18"/>
        <w:vertAlign w:val="baseline"/>
      </w:rPr>
    </w:lvl>
    <w:lvl w:ilvl="1" w:tentative="0">
      <w:start w:val="1"/>
      <w:numFmt w:val="none"/>
      <w:suff w:val="space"/>
      <w:lvlText w:val=""/>
      <w:lvlJc w:val="left"/>
      <w:pPr>
        <w:ind w:left="0" w:firstLine="0"/>
      </w:pPr>
      <w:rPr>
        <w:rFonts w:hint="eastAsia"/>
        <w:vertAlign w:val="baseline"/>
      </w:rPr>
    </w:lvl>
    <w:lvl w:ilvl="2" w:tentative="0">
      <w:start w:val="1"/>
      <w:numFmt w:val="decimal"/>
      <w:suff w:val="space"/>
      <w:lvlText w:val="2.2.%3"/>
      <w:lvlJc w:val="left"/>
      <w:pPr>
        <w:ind w:left="0" w:firstLine="0"/>
      </w:pPr>
      <w:rPr>
        <w:rFonts w:hint="eastAsia"/>
        <w:vertAlign w:val="baseline"/>
      </w:rPr>
    </w:lvl>
    <w:lvl w:ilvl="3" w:tentative="0">
      <w:start w:val="1"/>
      <w:numFmt w:val="decimal"/>
      <w:lvlText w:val="%4."/>
      <w:lvlJc w:val="left"/>
      <w:pPr>
        <w:tabs>
          <w:tab w:val="left" w:pos="0"/>
        </w:tabs>
        <w:ind w:left="992" w:hanging="629"/>
      </w:pPr>
      <w:rPr>
        <w:rFonts w:hint="eastAsia"/>
        <w:vertAlign w:val="baseline"/>
      </w:rPr>
    </w:lvl>
    <w:lvl w:ilvl="4" w:tentative="0">
      <w:start w:val="1"/>
      <w:numFmt w:val="lowerLetter"/>
      <w:lvlText w:val="%5)"/>
      <w:lvlJc w:val="left"/>
      <w:pPr>
        <w:tabs>
          <w:tab w:val="left" w:pos="0"/>
        </w:tabs>
        <w:ind w:left="992" w:hanging="629"/>
      </w:pPr>
      <w:rPr>
        <w:rFonts w:hint="eastAsia"/>
        <w:vertAlign w:val="baseline"/>
      </w:rPr>
    </w:lvl>
    <w:lvl w:ilvl="5" w:tentative="0">
      <w:start w:val="1"/>
      <w:numFmt w:val="lowerRoman"/>
      <w:lvlText w:val="%6."/>
      <w:lvlJc w:val="right"/>
      <w:pPr>
        <w:tabs>
          <w:tab w:val="left" w:pos="0"/>
        </w:tabs>
        <w:ind w:left="992" w:hanging="629"/>
      </w:pPr>
      <w:rPr>
        <w:rFonts w:hint="eastAsia"/>
        <w:vertAlign w:val="baseline"/>
      </w:rPr>
    </w:lvl>
    <w:lvl w:ilvl="6" w:tentative="0">
      <w:start w:val="1"/>
      <w:numFmt w:val="decimal"/>
      <w:lvlText w:val="%7."/>
      <w:lvlJc w:val="left"/>
      <w:pPr>
        <w:tabs>
          <w:tab w:val="left" w:pos="0"/>
        </w:tabs>
        <w:ind w:left="992" w:hanging="629"/>
      </w:pPr>
      <w:rPr>
        <w:rFonts w:hint="eastAsia"/>
        <w:vertAlign w:val="baseline"/>
      </w:rPr>
    </w:lvl>
    <w:lvl w:ilvl="7" w:tentative="0">
      <w:start w:val="1"/>
      <w:numFmt w:val="lowerLetter"/>
      <w:lvlText w:val="%8)"/>
      <w:lvlJc w:val="left"/>
      <w:pPr>
        <w:tabs>
          <w:tab w:val="left" w:pos="0"/>
        </w:tabs>
        <w:ind w:left="992" w:hanging="629"/>
      </w:pPr>
      <w:rPr>
        <w:rFonts w:hint="eastAsia"/>
        <w:vertAlign w:val="baseline"/>
      </w:rPr>
    </w:lvl>
    <w:lvl w:ilvl="8" w:tentative="0">
      <w:start w:val="1"/>
      <w:numFmt w:val="lowerRoman"/>
      <w:lvlText w:val="%9."/>
      <w:lvlJc w:val="right"/>
      <w:pPr>
        <w:tabs>
          <w:tab w:val="left" w:pos="0"/>
        </w:tabs>
        <w:ind w:left="992" w:hanging="629"/>
      </w:pPr>
      <w:rPr>
        <w:rFonts w:hint="eastAsia"/>
        <w:vertAlign w:val="baseline"/>
      </w:rPr>
    </w:lvl>
  </w:abstractNum>
  <w:abstractNum w:abstractNumId="11">
    <w:nsid w:val="557C2AF5"/>
    <w:multiLevelType w:val="multilevel"/>
    <w:tmpl w:val="557C2AF5"/>
    <w:lvl w:ilvl="0" w:tentative="0">
      <w:start w:val="1"/>
      <w:numFmt w:val="decimal"/>
      <w:pStyle w:val="79"/>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2">
    <w:nsid w:val="60B55DC2"/>
    <w:multiLevelType w:val="multilevel"/>
    <w:tmpl w:val="60B55DC2"/>
    <w:lvl w:ilvl="0" w:tentative="0">
      <w:start w:val="1"/>
      <w:numFmt w:val="upperLetter"/>
      <w:pStyle w:val="137"/>
      <w:lvlText w:val="%1"/>
      <w:lvlJc w:val="left"/>
      <w:pPr>
        <w:tabs>
          <w:tab w:val="left" w:pos="0"/>
        </w:tabs>
        <w:ind w:left="0" w:hanging="425"/>
      </w:pPr>
      <w:rPr>
        <w:rFonts w:hint="eastAsia"/>
      </w:rPr>
    </w:lvl>
    <w:lvl w:ilvl="1" w:tentative="0">
      <w:start w:val="1"/>
      <w:numFmt w:val="decimal"/>
      <w:pStyle w:val="139"/>
      <w:suff w:val="nothing"/>
      <w:lvlText w:val="表%1.%2　"/>
      <w:lvlJc w:val="left"/>
      <w:pPr>
        <w:ind w:left="329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13">
    <w:nsid w:val="646260FA"/>
    <w:multiLevelType w:val="multilevel"/>
    <w:tmpl w:val="646260FA"/>
    <w:lvl w:ilvl="0" w:tentative="0">
      <w:start w:val="1"/>
      <w:numFmt w:val="decimal"/>
      <w:pStyle w:val="99"/>
      <w:suff w:val="nothing"/>
      <w:lvlText w:val="表%1　"/>
      <w:lvlJc w:val="left"/>
      <w:pPr>
        <w:ind w:left="1985" w:firstLine="0"/>
      </w:pPr>
      <w:rPr>
        <w:rFonts w:hint="eastAsia" w:ascii="黑体" w:hAnsi="Times New Roman" w:eastAsia="黑体"/>
        <w:b w:val="0"/>
        <w:i w:val="0"/>
        <w:sz w:val="21"/>
      </w:rPr>
    </w:lvl>
    <w:lvl w:ilvl="1" w:tentative="0">
      <w:start w:val="1"/>
      <w:numFmt w:val="decimal"/>
      <w:lvlText w:val="%1.%2"/>
      <w:lvlJc w:val="left"/>
      <w:pPr>
        <w:tabs>
          <w:tab w:val="left" w:pos="2977"/>
        </w:tabs>
        <w:ind w:left="2977" w:hanging="567"/>
      </w:pPr>
      <w:rPr>
        <w:rFonts w:hint="eastAsia"/>
      </w:rPr>
    </w:lvl>
    <w:lvl w:ilvl="2" w:tentative="0">
      <w:start w:val="1"/>
      <w:numFmt w:val="decimal"/>
      <w:lvlText w:val="%1.%2.%3"/>
      <w:lvlJc w:val="left"/>
      <w:pPr>
        <w:tabs>
          <w:tab w:val="left" w:pos="3403"/>
        </w:tabs>
        <w:ind w:left="3403" w:hanging="567"/>
      </w:pPr>
      <w:rPr>
        <w:rFonts w:hint="eastAsia"/>
      </w:rPr>
    </w:lvl>
    <w:lvl w:ilvl="3" w:tentative="0">
      <w:start w:val="1"/>
      <w:numFmt w:val="decimal"/>
      <w:lvlText w:val="%1.%2.%3.%4"/>
      <w:lvlJc w:val="left"/>
      <w:pPr>
        <w:tabs>
          <w:tab w:val="left" w:pos="3969"/>
        </w:tabs>
        <w:ind w:left="3969" w:hanging="708"/>
      </w:pPr>
      <w:rPr>
        <w:rFonts w:hint="eastAsia"/>
      </w:rPr>
    </w:lvl>
    <w:lvl w:ilvl="4" w:tentative="0">
      <w:start w:val="1"/>
      <w:numFmt w:val="decimal"/>
      <w:lvlText w:val="%1.%2.%3.%4.%5"/>
      <w:lvlJc w:val="left"/>
      <w:pPr>
        <w:tabs>
          <w:tab w:val="left" w:pos="4536"/>
        </w:tabs>
        <w:ind w:left="4536" w:hanging="850"/>
      </w:pPr>
      <w:rPr>
        <w:rFonts w:hint="eastAsia"/>
      </w:rPr>
    </w:lvl>
    <w:lvl w:ilvl="5" w:tentative="0">
      <w:start w:val="1"/>
      <w:numFmt w:val="decimal"/>
      <w:lvlText w:val="%1.%2.%3.%4.%5.%6"/>
      <w:lvlJc w:val="left"/>
      <w:pPr>
        <w:tabs>
          <w:tab w:val="left" w:pos="5245"/>
        </w:tabs>
        <w:ind w:left="5245" w:hanging="1134"/>
      </w:pPr>
      <w:rPr>
        <w:rFonts w:hint="eastAsia"/>
      </w:rPr>
    </w:lvl>
    <w:lvl w:ilvl="6" w:tentative="0">
      <w:start w:val="1"/>
      <w:numFmt w:val="decimal"/>
      <w:lvlText w:val="%1.%2.%3.%4.%5.%6.%7"/>
      <w:lvlJc w:val="left"/>
      <w:pPr>
        <w:tabs>
          <w:tab w:val="left" w:pos="5812"/>
        </w:tabs>
        <w:ind w:left="5812" w:hanging="1276"/>
      </w:pPr>
      <w:rPr>
        <w:rFonts w:hint="eastAsia"/>
      </w:rPr>
    </w:lvl>
    <w:lvl w:ilvl="7" w:tentative="0">
      <w:start w:val="1"/>
      <w:numFmt w:val="decimal"/>
      <w:lvlText w:val="%1.%2.%3.%4.%5.%6.%7.%8"/>
      <w:lvlJc w:val="left"/>
      <w:pPr>
        <w:tabs>
          <w:tab w:val="left" w:pos="6379"/>
        </w:tabs>
        <w:ind w:left="6379" w:hanging="1418"/>
      </w:pPr>
      <w:rPr>
        <w:rFonts w:hint="eastAsia"/>
      </w:rPr>
    </w:lvl>
    <w:lvl w:ilvl="8" w:tentative="0">
      <w:start w:val="1"/>
      <w:numFmt w:val="decimal"/>
      <w:lvlText w:val="%1.%2.%3.%4.%5.%6.%7.%8.%9"/>
      <w:lvlJc w:val="left"/>
      <w:pPr>
        <w:tabs>
          <w:tab w:val="left" w:pos="7087"/>
        </w:tabs>
        <w:ind w:left="7087" w:hanging="1700"/>
      </w:pPr>
      <w:rPr>
        <w:rFonts w:hint="eastAsia"/>
      </w:rPr>
    </w:lvl>
  </w:abstractNum>
  <w:abstractNum w:abstractNumId="14">
    <w:nsid w:val="657D3FBC"/>
    <w:multiLevelType w:val="multilevel"/>
    <w:tmpl w:val="657D3FBC"/>
    <w:lvl w:ilvl="0" w:tentative="0">
      <w:start w:val="1"/>
      <w:numFmt w:val="upperLetter"/>
      <w:pStyle w:val="75"/>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134"/>
      <w:suff w:val="nothing"/>
      <w:lvlText w:val="%1.%2　"/>
      <w:lvlJc w:val="left"/>
      <w:pPr>
        <w:ind w:left="0" w:firstLine="0"/>
      </w:pPr>
      <w:rPr>
        <w:rFonts w:hint="default" w:ascii="Times New Roman" w:hAnsi="Times New Roman" w:eastAsia="黑体" w:cs="Times New Roman"/>
        <w:b w:val="0"/>
        <w:i w:val="0"/>
        <w:snapToGrid/>
        <w:spacing w:val="0"/>
        <w:w w:val="100"/>
        <w:kern w:val="21"/>
        <w:sz w:val="21"/>
      </w:rPr>
    </w:lvl>
    <w:lvl w:ilvl="2" w:tentative="0">
      <w:start w:val="1"/>
      <w:numFmt w:val="decimal"/>
      <w:pStyle w:val="133"/>
      <w:suff w:val="nothing"/>
      <w:lvlText w:val="%1.%2.%3　"/>
      <w:lvlJc w:val="left"/>
      <w:pPr>
        <w:ind w:left="0" w:firstLine="0"/>
      </w:pPr>
      <w:rPr>
        <w:rFonts w:hint="eastAsia" w:ascii="黑体" w:hAnsi="Times New Roman" w:eastAsia="黑体"/>
        <w:b w:val="0"/>
        <w:i w:val="0"/>
        <w:sz w:val="21"/>
      </w:rPr>
    </w:lvl>
    <w:lvl w:ilvl="3" w:tentative="0">
      <w:start w:val="1"/>
      <w:numFmt w:val="decimal"/>
      <w:pStyle w:val="68"/>
      <w:suff w:val="nothing"/>
      <w:lvlText w:val="%1.%2.%3.%4　"/>
      <w:lvlJc w:val="left"/>
      <w:pPr>
        <w:ind w:left="0" w:firstLine="0"/>
      </w:pPr>
      <w:rPr>
        <w:rFonts w:hint="eastAsia" w:ascii="黑体" w:hAnsi="Times New Roman" w:eastAsia="黑体"/>
        <w:b w:val="0"/>
        <w:i w:val="0"/>
        <w:sz w:val="21"/>
      </w:rPr>
    </w:lvl>
    <w:lvl w:ilvl="4" w:tentative="0">
      <w:start w:val="1"/>
      <w:numFmt w:val="decimal"/>
      <w:pStyle w:val="67"/>
      <w:suff w:val="nothing"/>
      <w:lvlText w:val="%1.%2.%3.%4.%5　"/>
      <w:lvlJc w:val="left"/>
      <w:pPr>
        <w:ind w:left="0" w:firstLine="0"/>
      </w:pPr>
      <w:rPr>
        <w:rFonts w:hint="eastAsia" w:ascii="黑体" w:hAnsi="Times New Roman" w:eastAsia="黑体"/>
        <w:b w:val="0"/>
        <w:i w:val="0"/>
        <w:sz w:val="21"/>
      </w:rPr>
    </w:lvl>
    <w:lvl w:ilvl="5" w:tentative="0">
      <w:start w:val="1"/>
      <w:numFmt w:val="decimal"/>
      <w:pStyle w:val="94"/>
      <w:suff w:val="nothing"/>
      <w:lvlText w:val="%1.%2.%3.%4.%5.%6　"/>
      <w:lvlJc w:val="left"/>
      <w:pPr>
        <w:ind w:left="0" w:firstLine="0"/>
      </w:pPr>
      <w:rPr>
        <w:rFonts w:hint="eastAsia" w:ascii="黑体" w:hAnsi="Times New Roman" w:eastAsia="黑体"/>
        <w:b w:val="0"/>
        <w:i w:val="0"/>
        <w:sz w:val="21"/>
      </w:rPr>
    </w:lvl>
    <w:lvl w:ilvl="6" w:tentative="0">
      <w:start w:val="1"/>
      <w:numFmt w:val="decimal"/>
      <w:pStyle w:val="93"/>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5">
    <w:nsid w:val="6D6C07CD"/>
    <w:multiLevelType w:val="multilevel"/>
    <w:tmpl w:val="6D6C07CD"/>
    <w:lvl w:ilvl="0" w:tentative="0">
      <w:start w:val="1"/>
      <w:numFmt w:val="lowerLetter"/>
      <w:pStyle w:val="118"/>
      <w:lvlText w:val="%1)"/>
      <w:lvlJc w:val="left"/>
      <w:pPr>
        <w:tabs>
          <w:tab w:val="left" w:pos="839"/>
        </w:tabs>
        <w:ind w:left="839" w:hanging="419"/>
      </w:pPr>
      <w:rPr>
        <w:rFonts w:hint="eastAsia" w:ascii="宋体" w:eastAsia="宋体"/>
        <w:b w:val="0"/>
        <w:i w:val="0"/>
        <w:sz w:val="21"/>
      </w:rPr>
    </w:lvl>
    <w:lvl w:ilvl="1" w:tentative="0">
      <w:start w:val="1"/>
      <w:numFmt w:val="decimal"/>
      <w:pStyle w:val="106"/>
      <w:lvlText w:val="%2)"/>
      <w:lvlJc w:val="left"/>
      <w:pPr>
        <w:tabs>
          <w:tab w:val="left" w:pos="840"/>
        </w:tabs>
        <w:ind w:left="839" w:hanging="419"/>
      </w:pPr>
      <w:rPr>
        <w:rFonts w:hint="eastAsia" w:ascii="宋体" w:eastAsia="宋体"/>
        <w:b w:val="0"/>
        <w:i w:val="0"/>
        <w:sz w:val="21"/>
      </w:rPr>
    </w:lvl>
    <w:lvl w:ilvl="2" w:tentative="0">
      <w:start w:val="1"/>
      <w:numFmt w:val="lowerRoman"/>
      <w:lvlText w:val="%3."/>
      <w:lvlJc w:val="right"/>
      <w:pPr>
        <w:tabs>
          <w:tab w:val="left" w:pos="1260"/>
        </w:tabs>
        <w:ind w:left="1259" w:hanging="419"/>
      </w:pPr>
      <w:rPr>
        <w:rFonts w:hint="eastAsia"/>
      </w:rPr>
    </w:lvl>
    <w:lvl w:ilvl="3" w:tentative="0">
      <w:start w:val="1"/>
      <w:numFmt w:val="decimal"/>
      <w:lvlText w:val="%4."/>
      <w:lvlJc w:val="left"/>
      <w:pPr>
        <w:tabs>
          <w:tab w:val="left" w:pos="1680"/>
        </w:tabs>
        <w:ind w:left="1679" w:hanging="419"/>
      </w:pPr>
      <w:rPr>
        <w:rFonts w:hint="eastAsia"/>
      </w:rPr>
    </w:lvl>
    <w:lvl w:ilvl="4" w:tentative="0">
      <w:start w:val="1"/>
      <w:numFmt w:val="lowerLetter"/>
      <w:lvlText w:val="%5)"/>
      <w:lvlJc w:val="left"/>
      <w:pPr>
        <w:tabs>
          <w:tab w:val="left" w:pos="2100"/>
        </w:tabs>
        <w:ind w:left="2099" w:hanging="419"/>
      </w:pPr>
      <w:rPr>
        <w:rFonts w:hint="eastAsia"/>
      </w:rPr>
    </w:lvl>
    <w:lvl w:ilvl="5" w:tentative="0">
      <w:start w:val="1"/>
      <w:numFmt w:val="lowerRoman"/>
      <w:lvlText w:val="%6."/>
      <w:lvlJc w:val="right"/>
      <w:pPr>
        <w:tabs>
          <w:tab w:val="left" w:pos="2520"/>
        </w:tabs>
        <w:ind w:left="2519" w:hanging="419"/>
      </w:pPr>
      <w:rPr>
        <w:rFonts w:hint="eastAsia"/>
      </w:rPr>
    </w:lvl>
    <w:lvl w:ilvl="6" w:tentative="0">
      <w:start w:val="1"/>
      <w:numFmt w:val="decimal"/>
      <w:lvlText w:val="%7."/>
      <w:lvlJc w:val="left"/>
      <w:pPr>
        <w:tabs>
          <w:tab w:val="left" w:pos="2940"/>
        </w:tabs>
        <w:ind w:left="2939" w:hanging="419"/>
      </w:pPr>
      <w:rPr>
        <w:rFonts w:hint="eastAsia"/>
      </w:rPr>
    </w:lvl>
    <w:lvl w:ilvl="7" w:tentative="0">
      <w:start w:val="1"/>
      <w:numFmt w:val="lowerLetter"/>
      <w:lvlText w:val="%8)"/>
      <w:lvlJc w:val="left"/>
      <w:pPr>
        <w:tabs>
          <w:tab w:val="left" w:pos="3360"/>
        </w:tabs>
        <w:ind w:left="3359" w:hanging="419"/>
      </w:pPr>
      <w:rPr>
        <w:rFonts w:hint="eastAsia"/>
      </w:rPr>
    </w:lvl>
    <w:lvl w:ilvl="8" w:tentative="0">
      <w:start w:val="1"/>
      <w:numFmt w:val="lowerRoman"/>
      <w:lvlText w:val="%9."/>
      <w:lvlJc w:val="right"/>
      <w:pPr>
        <w:tabs>
          <w:tab w:val="left" w:pos="3780"/>
        </w:tabs>
        <w:ind w:left="3779" w:hanging="419"/>
      </w:pPr>
      <w:rPr>
        <w:rFonts w:hint="eastAsia"/>
      </w:rPr>
    </w:lvl>
  </w:abstractNum>
  <w:abstractNum w:abstractNumId="16">
    <w:nsid w:val="6DBF04F4"/>
    <w:multiLevelType w:val="multilevel"/>
    <w:tmpl w:val="6DBF04F4"/>
    <w:lvl w:ilvl="0" w:tentative="0">
      <w:start w:val="1"/>
      <w:numFmt w:val="none"/>
      <w:pStyle w:val="101"/>
      <w:suff w:val="nothing"/>
      <w:lvlText w:val="%1注："/>
      <w:lvlJc w:val="left"/>
      <w:pPr>
        <w:ind w:left="505" w:hanging="363"/>
      </w:pPr>
      <w:rPr>
        <w:rFonts w:hint="eastAsia" w:ascii="黑体" w:hAnsi="Times New Roman" w:eastAsia="黑体"/>
        <w:b w:val="0"/>
        <w:i w:val="0"/>
        <w:sz w:val="18"/>
      </w:rPr>
    </w:lvl>
    <w:lvl w:ilvl="1" w:tentative="0">
      <w:start w:val="1"/>
      <w:numFmt w:val="lowerLetter"/>
      <w:lvlText w:val="%2)"/>
      <w:lvlJc w:val="left"/>
      <w:pPr>
        <w:tabs>
          <w:tab w:val="left" w:pos="919"/>
        </w:tabs>
        <w:ind w:left="505" w:hanging="363"/>
      </w:pPr>
      <w:rPr>
        <w:rFonts w:hint="eastAsia"/>
      </w:rPr>
    </w:lvl>
    <w:lvl w:ilvl="2" w:tentative="0">
      <w:start w:val="1"/>
      <w:numFmt w:val="lowerRoman"/>
      <w:lvlText w:val="%3."/>
      <w:lvlJc w:val="right"/>
      <w:pPr>
        <w:tabs>
          <w:tab w:val="left" w:pos="919"/>
        </w:tabs>
        <w:ind w:left="505" w:hanging="363"/>
      </w:pPr>
      <w:rPr>
        <w:rFonts w:hint="eastAsia"/>
      </w:rPr>
    </w:lvl>
    <w:lvl w:ilvl="3" w:tentative="0">
      <w:start w:val="1"/>
      <w:numFmt w:val="decimal"/>
      <w:lvlText w:val="%4."/>
      <w:lvlJc w:val="left"/>
      <w:pPr>
        <w:tabs>
          <w:tab w:val="left" w:pos="919"/>
        </w:tabs>
        <w:ind w:left="505" w:hanging="363"/>
      </w:pPr>
      <w:rPr>
        <w:rFonts w:hint="eastAsia"/>
      </w:rPr>
    </w:lvl>
    <w:lvl w:ilvl="4" w:tentative="0">
      <w:start w:val="1"/>
      <w:numFmt w:val="lowerLetter"/>
      <w:lvlText w:val="%5)"/>
      <w:lvlJc w:val="left"/>
      <w:pPr>
        <w:tabs>
          <w:tab w:val="left" w:pos="919"/>
        </w:tabs>
        <w:ind w:left="505" w:hanging="363"/>
      </w:pPr>
      <w:rPr>
        <w:rFonts w:hint="eastAsia"/>
      </w:rPr>
    </w:lvl>
    <w:lvl w:ilvl="5" w:tentative="0">
      <w:start w:val="1"/>
      <w:numFmt w:val="lowerRoman"/>
      <w:lvlText w:val="%6."/>
      <w:lvlJc w:val="right"/>
      <w:pPr>
        <w:tabs>
          <w:tab w:val="left" w:pos="919"/>
        </w:tabs>
        <w:ind w:left="505" w:hanging="363"/>
      </w:pPr>
      <w:rPr>
        <w:rFonts w:hint="eastAsia"/>
      </w:rPr>
    </w:lvl>
    <w:lvl w:ilvl="6" w:tentative="0">
      <w:start w:val="1"/>
      <w:numFmt w:val="decimal"/>
      <w:lvlText w:val="%7."/>
      <w:lvlJc w:val="left"/>
      <w:pPr>
        <w:tabs>
          <w:tab w:val="left" w:pos="919"/>
        </w:tabs>
        <w:ind w:left="505" w:hanging="363"/>
      </w:pPr>
      <w:rPr>
        <w:rFonts w:hint="eastAsia"/>
      </w:rPr>
    </w:lvl>
    <w:lvl w:ilvl="7" w:tentative="0">
      <w:start w:val="1"/>
      <w:numFmt w:val="lowerLetter"/>
      <w:lvlText w:val="%8)"/>
      <w:lvlJc w:val="left"/>
      <w:pPr>
        <w:tabs>
          <w:tab w:val="left" w:pos="919"/>
        </w:tabs>
        <w:ind w:left="505" w:hanging="363"/>
      </w:pPr>
      <w:rPr>
        <w:rFonts w:hint="eastAsia"/>
      </w:rPr>
    </w:lvl>
    <w:lvl w:ilvl="8" w:tentative="0">
      <w:start w:val="1"/>
      <w:numFmt w:val="lowerRoman"/>
      <w:lvlText w:val="%9."/>
      <w:lvlJc w:val="right"/>
      <w:pPr>
        <w:tabs>
          <w:tab w:val="left" w:pos="919"/>
        </w:tabs>
        <w:ind w:left="505" w:hanging="363"/>
      </w:pPr>
      <w:rPr>
        <w:rFonts w:hint="eastAsia"/>
      </w:rPr>
    </w:lvl>
  </w:abstractNum>
  <w:num w:numId="1">
    <w:abstractNumId w:val="8"/>
  </w:num>
  <w:num w:numId="2">
    <w:abstractNumId w:val="1"/>
  </w:num>
  <w:num w:numId="3">
    <w:abstractNumId w:val="14"/>
  </w:num>
  <w:num w:numId="4">
    <w:abstractNumId w:val="5"/>
  </w:num>
  <w:num w:numId="5">
    <w:abstractNumId w:val="11"/>
  </w:num>
  <w:num w:numId="6">
    <w:abstractNumId w:val="4"/>
  </w:num>
  <w:num w:numId="7">
    <w:abstractNumId w:val="9"/>
  </w:num>
  <w:num w:numId="8">
    <w:abstractNumId w:val="13"/>
  </w:num>
  <w:num w:numId="9">
    <w:abstractNumId w:val="16"/>
  </w:num>
  <w:num w:numId="10">
    <w:abstractNumId w:val="6"/>
  </w:num>
  <w:num w:numId="11">
    <w:abstractNumId w:val="15"/>
  </w:num>
  <w:num w:numId="12">
    <w:abstractNumId w:val="10"/>
  </w:num>
  <w:num w:numId="13">
    <w:abstractNumId w:val="7"/>
  </w:num>
  <w:num w:numId="14">
    <w:abstractNumId w:val="3"/>
  </w:num>
  <w:num w:numId="15">
    <w:abstractNumId w:val="12"/>
  </w:num>
  <w:num w:numId="16">
    <w:abstractNumId w:val="0"/>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dit="forms" w:enforcement="1" w:cryptProviderType="rsaFull" w:cryptAlgorithmClass="hash" w:cryptAlgorithmType="typeAny" w:cryptAlgorithmSid="4" w:cryptSpinCount="0" w:hash="YyjAbTF4QPPFn9v3BqCA/mTFynY=" w:salt="/U2uIWgZfKOZ2lFQQ6ndJQ=="/>
  <w:defaultTabStop w:val="420"/>
  <w:hyphenationZone w:val="36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5925"/>
    <w:rsid w:val="00000244"/>
    <w:rsid w:val="0000185F"/>
    <w:rsid w:val="0000586F"/>
    <w:rsid w:val="00013CCD"/>
    <w:rsid w:val="00013D86"/>
    <w:rsid w:val="00013E02"/>
    <w:rsid w:val="0002143C"/>
    <w:rsid w:val="000239FA"/>
    <w:rsid w:val="00025A65"/>
    <w:rsid w:val="00026C31"/>
    <w:rsid w:val="00027280"/>
    <w:rsid w:val="00030D01"/>
    <w:rsid w:val="000320A7"/>
    <w:rsid w:val="00035925"/>
    <w:rsid w:val="00043D75"/>
    <w:rsid w:val="00067CDF"/>
    <w:rsid w:val="00070BD5"/>
    <w:rsid w:val="000731A0"/>
    <w:rsid w:val="00074FBE"/>
    <w:rsid w:val="00081473"/>
    <w:rsid w:val="00083A09"/>
    <w:rsid w:val="0009005E"/>
    <w:rsid w:val="00092857"/>
    <w:rsid w:val="000943D9"/>
    <w:rsid w:val="00097082"/>
    <w:rsid w:val="000A20A9"/>
    <w:rsid w:val="000A48B1"/>
    <w:rsid w:val="000B2D06"/>
    <w:rsid w:val="000B3143"/>
    <w:rsid w:val="000C4F7B"/>
    <w:rsid w:val="000C6B05"/>
    <w:rsid w:val="000C6DD6"/>
    <w:rsid w:val="000C73D4"/>
    <w:rsid w:val="000D0EA2"/>
    <w:rsid w:val="000D330D"/>
    <w:rsid w:val="000D3D4C"/>
    <w:rsid w:val="000D44B8"/>
    <w:rsid w:val="000D4F51"/>
    <w:rsid w:val="000D718B"/>
    <w:rsid w:val="000E0C46"/>
    <w:rsid w:val="000E22E4"/>
    <w:rsid w:val="000E7F20"/>
    <w:rsid w:val="000F030C"/>
    <w:rsid w:val="000F129C"/>
    <w:rsid w:val="000F181F"/>
    <w:rsid w:val="000F51FE"/>
    <w:rsid w:val="000F556B"/>
    <w:rsid w:val="00100059"/>
    <w:rsid w:val="001052AB"/>
    <w:rsid w:val="001056DE"/>
    <w:rsid w:val="001124C0"/>
    <w:rsid w:val="0012221D"/>
    <w:rsid w:val="001246F2"/>
    <w:rsid w:val="0013175F"/>
    <w:rsid w:val="00137FA9"/>
    <w:rsid w:val="00140412"/>
    <w:rsid w:val="00144EF3"/>
    <w:rsid w:val="001512B4"/>
    <w:rsid w:val="001620A5"/>
    <w:rsid w:val="00164E53"/>
    <w:rsid w:val="0016699D"/>
    <w:rsid w:val="001707C5"/>
    <w:rsid w:val="00170CE4"/>
    <w:rsid w:val="00171229"/>
    <w:rsid w:val="00171AD0"/>
    <w:rsid w:val="001746C3"/>
    <w:rsid w:val="00175159"/>
    <w:rsid w:val="00176208"/>
    <w:rsid w:val="00177919"/>
    <w:rsid w:val="00180217"/>
    <w:rsid w:val="0018211B"/>
    <w:rsid w:val="001840D3"/>
    <w:rsid w:val="00184812"/>
    <w:rsid w:val="0018799F"/>
    <w:rsid w:val="001900F8"/>
    <w:rsid w:val="00191258"/>
    <w:rsid w:val="001921FB"/>
    <w:rsid w:val="00192680"/>
    <w:rsid w:val="00193037"/>
    <w:rsid w:val="00193A2C"/>
    <w:rsid w:val="00193C8A"/>
    <w:rsid w:val="001A288E"/>
    <w:rsid w:val="001A6FA6"/>
    <w:rsid w:val="001B0920"/>
    <w:rsid w:val="001B0986"/>
    <w:rsid w:val="001B4636"/>
    <w:rsid w:val="001B6DC2"/>
    <w:rsid w:val="001C149C"/>
    <w:rsid w:val="001C21AC"/>
    <w:rsid w:val="001C47BA"/>
    <w:rsid w:val="001C4DD2"/>
    <w:rsid w:val="001C59EA"/>
    <w:rsid w:val="001D0F38"/>
    <w:rsid w:val="001D406C"/>
    <w:rsid w:val="001D41EE"/>
    <w:rsid w:val="001E0380"/>
    <w:rsid w:val="001E13B1"/>
    <w:rsid w:val="001E46FE"/>
    <w:rsid w:val="001E48DF"/>
    <w:rsid w:val="001F0D2B"/>
    <w:rsid w:val="001F3A19"/>
    <w:rsid w:val="002263FD"/>
    <w:rsid w:val="00234467"/>
    <w:rsid w:val="00237D8D"/>
    <w:rsid w:val="00240113"/>
    <w:rsid w:val="00241230"/>
    <w:rsid w:val="002418AF"/>
    <w:rsid w:val="00241DA2"/>
    <w:rsid w:val="0024290B"/>
    <w:rsid w:val="00247FEE"/>
    <w:rsid w:val="00250E7D"/>
    <w:rsid w:val="00255F50"/>
    <w:rsid w:val="002565D5"/>
    <w:rsid w:val="002622C0"/>
    <w:rsid w:val="0026731D"/>
    <w:rsid w:val="00267704"/>
    <w:rsid w:val="0027278D"/>
    <w:rsid w:val="00276E12"/>
    <w:rsid w:val="002778AE"/>
    <w:rsid w:val="0028269A"/>
    <w:rsid w:val="00283590"/>
    <w:rsid w:val="00286973"/>
    <w:rsid w:val="00294E70"/>
    <w:rsid w:val="002A185A"/>
    <w:rsid w:val="002A1924"/>
    <w:rsid w:val="002A7420"/>
    <w:rsid w:val="002B0F12"/>
    <w:rsid w:val="002B0FB1"/>
    <w:rsid w:val="002B1308"/>
    <w:rsid w:val="002B4554"/>
    <w:rsid w:val="002C36CA"/>
    <w:rsid w:val="002C72D8"/>
    <w:rsid w:val="002D11FA"/>
    <w:rsid w:val="002E0DDF"/>
    <w:rsid w:val="002E2906"/>
    <w:rsid w:val="002E5635"/>
    <w:rsid w:val="002E64C3"/>
    <w:rsid w:val="002E6A2C"/>
    <w:rsid w:val="002F1D8C"/>
    <w:rsid w:val="002F21DA"/>
    <w:rsid w:val="00301F39"/>
    <w:rsid w:val="003056FB"/>
    <w:rsid w:val="0030575E"/>
    <w:rsid w:val="00316BEF"/>
    <w:rsid w:val="00325926"/>
    <w:rsid w:val="0032635B"/>
    <w:rsid w:val="00327A8A"/>
    <w:rsid w:val="00332131"/>
    <w:rsid w:val="00334361"/>
    <w:rsid w:val="00335A40"/>
    <w:rsid w:val="00336610"/>
    <w:rsid w:val="00342285"/>
    <w:rsid w:val="00343F73"/>
    <w:rsid w:val="00345060"/>
    <w:rsid w:val="003454DF"/>
    <w:rsid w:val="0035323B"/>
    <w:rsid w:val="003572D7"/>
    <w:rsid w:val="00357F18"/>
    <w:rsid w:val="003609D2"/>
    <w:rsid w:val="00363F22"/>
    <w:rsid w:val="00364435"/>
    <w:rsid w:val="00375564"/>
    <w:rsid w:val="00377C0E"/>
    <w:rsid w:val="00383191"/>
    <w:rsid w:val="00386DED"/>
    <w:rsid w:val="003912E7"/>
    <w:rsid w:val="00393947"/>
    <w:rsid w:val="003944C6"/>
    <w:rsid w:val="003A1FAC"/>
    <w:rsid w:val="003A2275"/>
    <w:rsid w:val="003A543F"/>
    <w:rsid w:val="003A6A4F"/>
    <w:rsid w:val="003A6DB1"/>
    <w:rsid w:val="003A7088"/>
    <w:rsid w:val="003B00DF"/>
    <w:rsid w:val="003B1275"/>
    <w:rsid w:val="003B1778"/>
    <w:rsid w:val="003B21D4"/>
    <w:rsid w:val="003C11CB"/>
    <w:rsid w:val="003C75F3"/>
    <w:rsid w:val="003C78A3"/>
    <w:rsid w:val="003E1867"/>
    <w:rsid w:val="003E5729"/>
    <w:rsid w:val="003E7ED2"/>
    <w:rsid w:val="003F15B3"/>
    <w:rsid w:val="003F4EE0"/>
    <w:rsid w:val="00402153"/>
    <w:rsid w:val="00402FC1"/>
    <w:rsid w:val="00405F2F"/>
    <w:rsid w:val="00422E56"/>
    <w:rsid w:val="00425082"/>
    <w:rsid w:val="00431DEB"/>
    <w:rsid w:val="00446B29"/>
    <w:rsid w:val="00451290"/>
    <w:rsid w:val="00453F9A"/>
    <w:rsid w:val="00467AE8"/>
    <w:rsid w:val="00471E91"/>
    <w:rsid w:val="00474675"/>
    <w:rsid w:val="0047470C"/>
    <w:rsid w:val="00484A1D"/>
    <w:rsid w:val="004A2F9C"/>
    <w:rsid w:val="004A35F9"/>
    <w:rsid w:val="004A7B87"/>
    <w:rsid w:val="004B24C1"/>
    <w:rsid w:val="004B5135"/>
    <w:rsid w:val="004C1629"/>
    <w:rsid w:val="004C292F"/>
    <w:rsid w:val="004F31B5"/>
    <w:rsid w:val="004F5918"/>
    <w:rsid w:val="00510280"/>
    <w:rsid w:val="005124DB"/>
    <w:rsid w:val="00513D73"/>
    <w:rsid w:val="00514A43"/>
    <w:rsid w:val="005174E5"/>
    <w:rsid w:val="0052082F"/>
    <w:rsid w:val="00521705"/>
    <w:rsid w:val="00522393"/>
    <w:rsid w:val="00522620"/>
    <w:rsid w:val="00525656"/>
    <w:rsid w:val="00534913"/>
    <w:rsid w:val="00534C02"/>
    <w:rsid w:val="00540991"/>
    <w:rsid w:val="0054264B"/>
    <w:rsid w:val="00543786"/>
    <w:rsid w:val="005533D7"/>
    <w:rsid w:val="00556263"/>
    <w:rsid w:val="005703DE"/>
    <w:rsid w:val="00577543"/>
    <w:rsid w:val="0058464E"/>
    <w:rsid w:val="005A01CB"/>
    <w:rsid w:val="005A58FF"/>
    <w:rsid w:val="005A5EAF"/>
    <w:rsid w:val="005A64C0"/>
    <w:rsid w:val="005B1F4E"/>
    <w:rsid w:val="005B3770"/>
    <w:rsid w:val="005B3C11"/>
    <w:rsid w:val="005C1C28"/>
    <w:rsid w:val="005C2E8F"/>
    <w:rsid w:val="005C2FF1"/>
    <w:rsid w:val="005C6DB5"/>
    <w:rsid w:val="005D00D6"/>
    <w:rsid w:val="005D2B6C"/>
    <w:rsid w:val="005E19E7"/>
    <w:rsid w:val="00601E29"/>
    <w:rsid w:val="00602CFD"/>
    <w:rsid w:val="00611485"/>
    <w:rsid w:val="00612173"/>
    <w:rsid w:val="00616ED3"/>
    <w:rsid w:val="0061716C"/>
    <w:rsid w:val="006243A1"/>
    <w:rsid w:val="00627496"/>
    <w:rsid w:val="00631FE7"/>
    <w:rsid w:val="00632642"/>
    <w:rsid w:val="00632E56"/>
    <w:rsid w:val="0063432F"/>
    <w:rsid w:val="0063475E"/>
    <w:rsid w:val="00635CBA"/>
    <w:rsid w:val="0064338B"/>
    <w:rsid w:val="00644FFF"/>
    <w:rsid w:val="00646542"/>
    <w:rsid w:val="00647047"/>
    <w:rsid w:val="006504F4"/>
    <w:rsid w:val="00654BC9"/>
    <w:rsid w:val="006552FD"/>
    <w:rsid w:val="00663AF3"/>
    <w:rsid w:val="00666B6C"/>
    <w:rsid w:val="00681A75"/>
    <w:rsid w:val="00681CA3"/>
    <w:rsid w:val="00682682"/>
    <w:rsid w:val="00682702"/>
    <w:rsid w:val="00692368"/>
    <w:rsid w:val="00693AB4"/>
    <w:rsid w:val="006977AE"/>
    <w:rsid w:val="006A2EBC"/>
    <w:rsid w:val="006A5EA0"/>
    <w:rsid w:val="006A783B"/>
    <w:rsid w:val="006A7B33"/>
    <w:rsid w:val="006B4E13"/>
    <w:rsid w:val="006B75DD"/>
    <w:rsid w:val="006C3598"/>
    <w:rsid w:val="006C67E0"/>
    <w:rsid w:val="006C7ABA"/>
    <w:rsid w:val="006D02BC"/>
    <w:rsid w:val="006D0D60"/>
    <w:rsid w:val="006D1122"/>
    <w:rsid w:val="006D2B7B"/>
    <w:rsid w:val="006D3ABB"/>
    <w:rsid w:val="006D3C00"/>
    <w:rsid w:val="006E2481"/>
    <w:rsid w:val="006E3675"/>
    <w:rsid w:val="006E4A7F"/>
    <w:rsid w:val="006E69E6"/>
    <w:rsid w:val="006F51DA"/>
    <w:rsid w:val="00703C73"/>
    <w:rsid w:val="00704DF6"/>
    <w:rsid w:val="0070651C"/>
    <w:rsid w:val="007132A3"/>
    <w:rsid w:val="00716421"/>
    <w:rsid w:val="00724EFB"/>
    <w:rsid w:val="007419C3"/>
    <w:rsid w:val="007467A7"/>
    <w:rsid w:val="007469DD"/>
    <w:rsid w:val="0074741B"/>
    <w:rsid w:val="0074759E"/>
    <w:rsid w:val="007478EA"/>
    <w:rsid w:val="00747DE3"/>
    <w:rsid w:val="00750C38"/>
    <w:rsid w:val="00753755"/>
    <w:rsid w:val="0075415C"/>
    <w:rsid w:val="00757467"/>
    <w:rsid w:val="00761B1B"/>
    <w:rsid w:val="00762BEF"/>
    <w:rsid w:val="00763502"/>
    <w:rsid w:val="007913AB"/>
    <w:rsid w:val="007914F7"/>
    <w:rsid w:val="007A0012"/>
    <w:rsid w:val="007A4C22"/>
    <w:rsid w:val="007A6F0E"/>
    <w:rsid w:val="007B1625"/>
    <w:rsid w:val="007B36C8"/>
    <w:rsid w:val="007B706E"/>
    <w:rsid w:val="007B71EB"/>
    <w:rsid w:val="007C6205"/>
    <w:rsid w:val="007C63EF"/>
    <w:rsid w:val="007C686A"/>
    <w:rsid w:val="007C728E"/>
    <w:rsid w:val="007D2C53"/>
    <w:rsid w:val="007D3D60"/>
    <w:rsid w:val="007E1980"/>
    <w:rsid w:val="007E3AFD"/>
    <w:rsid w:val="007E4B76"/>
    <w:rsid w:val="007E5EA8"/>
    <w:rsid w:val="007E7BB2"/>
    <w:rsid w:val="007F0CF1"/>
    <w:rsid w:val="007F12A5"/>
    <w:rsid w:val="007F4CF1"/>
    <w:rsid w:val="007F758D"/>
    <w:rsid w:val="007F7D52"/>
    <w:rsid w:val="0080654C"/>
    <w:rsid w:val="008071C6"/>
    <w:rsid w:val="00815013"/>
    <w:rsid w:val="00817A00"/>
    <w:rsid w:val="00827925"/>
    <w:rsid w:val="00835646"/>
    <w:rsid w:val="00835DB3"/>
    <w:rsid w:val="0083617B"/>
    <w:rsid w:val="008371BD"/>
    <w:rsid w:val="008504A8"/>
    <w:rsid w:val="00851ACC"/>
    <w:rsid w:val="0085282E"/>
    <w:rsid w:val="0086089B"/>
    <w:rsid w:val="00862EEC"/>
    <w:rsid w:val="00865BF4"/>
    <w:rsid w:val="0087198C"/>
    <w:rsid w:val="00872C1F"/>
    <w:rsid w:val="00873B42"/>
    <w:rsid w:val="008806ED"/>
    <w:rsid w:val="008856D8"/>
    <w:rsid w:val="008878D1"/>
    <w:rsid w:val="00891BAA"/>
    <w:rsid w:val="00892E82"/>
    <w:rsid w:val="008937F2"/>
    <w:rsid w:val="008A4628"/>
    <w:rsid w:val="008C1B58"/>
    <w:rsid w:val="008C39AE"/>
    <w:rsid w:val="008C590D"/>
    <w:rsid w:val="008E031B"/>
    <w:rsid w:val="008E1231"/>
    <w:rsid w:val="008E4D48"/>
    <w:rsid w:val="008E7029"/>
    <w:rsid w:val="008E7EF6"/>
    <w:rsid w:val="008F1F98"/>
    <w:rsid w:val="008F253C"/>
    <w:rsid w:val="008F6758"/>
    <w:rsid w:val="009026FE"/>
    <w:rsid w:val="009040DD"/>
    <w:rsid w:val="009058D2"/>
    <w:rsid w:val="00905B47"/>
    <w:rsid w:val="00907552"/>
    <w:rsid w:val="009116B4"/>
    <w:rsid w:val="0091331C"/>
    <w:rsid w:val="009141E9"/>
    <w:rsid w:val="009157F3"/>
    <w:rsid w:val="00920403"/>
    <w:rsid w:val="0092342D"/>
    <w:rsid w:val="00924C78"/>
    <w:rsid w:val="009279DE"/>
    <w:rsid w:val="00930116"/>
    <w:rsid w:val="009316C1"/>
    <w:rsid w:val="0094212C"/>
    <w:rsid w:val="0094283F"/>
    <w:rsid w:val="00943D66"/>
    <w:rsid w:val="0094727D"/>
    <w:rsid w:val="009505AE"/>
    <w:rsid w:val="00950609"/>
    <w:rsid w:val="00952892"/>
    <w:rsid w:val="00954689"/>
    <w:rsid w:val="009616AF"/>
    <w:rsid w:val="009617C9"/>
    <w:rsid w:val="00961C93"/>
    <w:rsid w:val="00965324"/>
    <w:rsid w:val="00965844"/>
    <w:rsid w:val="0097091E"/>
    <w:rsid w:val="009760D3"/>
    <w:rsid w:val="00977132"/>
    <w:rsid w:val="00977606"/>
    <w:rsid w:val="00981A4B"/>
    <w:rsid w:val="00982501"/>
    <w:rsid w:val="009831E1"/>
    <w:rsid w:val="0098358E"/>
    <w:rsid w:val="009877D3"/>
    <w:rsid w:val="00994E8F"/>
    <w:rsid w:val="009951DC"/>
    <w:rsid w:val="009959BB"/>
    <w:rsid w:val="00997158"/>
    <w:rsid w:val="009A3A7C"/>
    <w:rsid w:val="009B2862"/>
    <w:rsid w:val="009B2ADB"/>
    <w:rsid w:val="009B48F9"/>
    <w:rsid w:val="009B603A"/>
    <w:rsid w:val="009C061D"/>
    <w:rsid w:val="009C2D0E"/>
    <w:rsid w:val="009C3DAC"/>
    <w:rsid w:val="009C42E0"/>
    <w:rsid w:val="009D20B9"/>
    <w:rsid w:val="009D5362"/>
    <w:rsid w:val="009E1415"/>
    <w:rsid w:val="009E6116"/>
    <w:rsid w:val="009F1B2C"/>
    <w:rsid w:val="00A02E43"/>
    <w:rsid w:val="00A065F9"/>
    <w:rsid w:val="00A07F34"/>
    <w:rsid w:val="00A17A16"/>
    <w:rsid w:val="00A20F2F"/>
    <w:rsid w:val="00A210D0"/>
    <w:rsid w:val="00A22154"/>
    <w:rsid w:val="00A25C38"/>
    <w:rsid w:val="00A36BBE"/>
    <w:rsid w:val="00A372FB"/>
    <w:rsid w:val="00A4307A"/>
    <w:rsid w:val="00A44FE3"/>
    <w:rsid w:val="00A47EBB"/>
    <w:rsid w:val="00A51CDD"/>
    <w:rsid w:val="00A558E2"/>
    <w:rsid w:val="00A6730D"/>
    <w:rsid w:val="00A71625"/>
    <w:rsid w:val="00A71B9B"/>
    <w:rsid w:val="00A73063"/>
    <w:rsid w:val="00A751C7"/>
    <w:rsid w:val="00A84EFC"/>
    <w:rsid w:val="00A87844"/>
    <w:rsid w:val="00A9715A"/>
    <w:rsid w:val="00A97528"/>
    <w:rsid w:val="00AA009A"/>
    <w:rsid w:val="00AA038C"/>
    <w:rsid w:val="00AA7A09"/>
    <w:rsid w:val="00AB3B50"/>
    <w:rsid w:val="00AB7CEA"/>
    <w:rsid w:val="00AC05B1"/>
    <w:rsid w:val="00AD343D"/>
    <w:rsid w:val="00AD356C"/>
    <w:rsid w:val="00AD4D7F"/>
    <w:rsid w:val="00AE2914"/>
    <w:rsid w:val="00AE2CA9"/>
    <w:rsid w:val="00AE6D15"/>
    <w:rsid w:val="00B04182"/>
    <w:rsid w:val="00B07AE3"/>
    <w:rsid w:val="00B11430"/>
    <w:rsid w:val="00B263BE"/>
    <w:rsid w:val="00B32597"/>
    <w:rsid w:val="00B353EB"/>
    <w:rsid w:val="00B358E1"/>
    <w:rsid w:val="00B40D51"/>
    <w:rsid w:val="00B41002"/>
    <w:rsid w:val="00B439C4"/>
    <w:rsid w:val="00B4535E"/>
    <w:rsid w:val="00B52A8C"/>
    <w:rsid w:val="00B54686"/>
    <w:rsid w:val="00B630C9"/>
    <w:rsid w:val="00B636A8"/>
    <w:rsid w:val="00B665C6"/>
    <w:rsid w:val="00B805AF"/>
    <w:rsid w:val="00B806A8"/>
    <w:rsid w:val="00B81525"/>
    <w:rsid w:val="00B83512"/>
    <w:rsid w:val="00B84CD8"/>
    <w:rsid w:val="00B85FC6"/>
    <w:rsid w:val="00B869EC"/>
    <w:rsid w:val="00B9397A"/>
    <w:rsid w:val="00B9633D"/>
    <w:rsid w:val="00B96B10"/>
    <w:rsid w:val="00BA2EBE"/>
    <w:rsid w:val="00BB0F28"/>
    <w:rsid w:val="00BB458A"/>
    <w:rsid w:val="00BB59B4"/>
    <w:rsid w:val="00BB768B"/>
    <w:rsid w:val="00BC7DC3"/>
    <w:rsid w:val="00BD00D3"/>
    <w:rsid w:val="00BD0F40"/>
    <w:rsid w:val="00BD1659"/>
    <w:rsid w:val="00BD3AA9"/>
    <w:rsid w:val="00BD4A18"/>
    <w:rsid w:val="00BD6DB2"/>
    <w:rsid w:val="00BE11CF"/>
    <w:rsid w:val="00BE21AB"/>
    <w:rsid w:val="00BE2E60"/>
    <w:rsid w:val="00BE55CB"/>
    <w:rsid w:val="00BE627B"/>
    <w:rsid w:val="00BF2C5D"/>
    <w:rsid w:val="00BF617A"/>
    <w:rsid w:val="00BF7B12"/>
    <w:rsid w:val="00C01D03"/>
    <w:rsid w:val="00C0379D"/>
    <w:rsid w:val="00C03931"/>
    <w:rsid w:val="00C03FF9"/>
    <w:rsid w:val="00C04793"/>
    <w:rsid w:val="00C05FE3"/>
    <w:rsid w:val="00C0637C"/>
    <w:rsid w:val="00C109AA"/>
    <w:rsid w:val="00C10DE7"/>
    <w:rsid w:val="00C142C3"/>
    <w:rsid w:val="00C17689"/>
    <w:rsid w:val="00C2136D"/>
    <w:rsid w:val="00C214EE"/>
    <w:rsid w:val="00C2314B"/>
    <w:rsid w:val="00C24971"/>
    <w:rsid w:val="00C26BE5"/>
    <w:rsid w:val="00C26E4D"/>
    <w:rsid w:val="00C27909"/>
    <w:rsid w:val="00C27B03"/>
    <w:rsid w:val="00C314E1"/>
    <w:rsid w:val="00C3206B"/>
    <w:rsid w:val="00C34397"/>
    <w:rsid w:val="00C4095D"/>
    <w:rsid w:val="00C427E8"/>
    <w:rsid w:val="00C45551"/>
    <w:rsid w:val="00C57BFE"/>
    <w:rsid w:val="00C601D2"/>
    <w:rsid w:val="00C6228B"/>
    <w:rsid w:val="00C65BCC"/>
    <w:rsid w:val="00C66970"/>
    <w:rsid w:val="00C75977"/>
    <w:rsid w:val="00C84753"/>
    <w:rsid w:val="00C8691C"/>
    <w:rsid w:val="00C95606"/>
    <w:rsid w:val="00CA0641"/>
    <w:rsid w:val="00CA168A"/>
    <w:rsid w:val="00CA2DCA"/>
    <w:rsid w:val="00CA357E"/>
    <w:rsid w:val="00CA44F9"/>
    <w:rsid w:val="00CA4A69"/>
    <w:rsid w:val="00CB3DEB"/>
    <w:rsid w:val="00CC3E0C"/>
    <w:rsid w:val="00CC58D3"/>
    <w:rsid w:val="00CC66D5"/>
    <w:rsid w:val="00CC784D"/>
    <w:rsid w:val="00CF0AF7"/>
    <w:rsid w:val="00CF305E"/>
    <w:rsid w:val="00CF605D"/>
    <w:rsid w:val="00D0209A"/>
    <w:rsid w:val="00D0337B"/>
    <w:rsid w:val="00D079B2"/>
    <w:rsid w:val="00D114E9"/>
    <w:rsid w:val="00D14C8F"/>
    <w:rsid w:val="00D341F0"/>
    <w:rsid w:val="00D429C6"/>
    <w:rsid w:val="00D431C8"/>
    <w:rsid w:val="00D47748"/>
    <w:rsid w:val="00D5264A"/>
    <w:rsid w:val="00D53B7A"/>
    <w:rsid w:val="00D54CC3"/>
    <w:rsid w:val="00D6041A"/>
    <w:rsid w:val="00D633EB"/>
    <w:rsid w:val="00D67002"/>
    <w:rsid w:val="00D73536"/>
    <w:rsid w:val="00D7600D"/>
    <w:rsid w:val="00D76B8F"/>
    <w:rsid w:val="00D80352"/>
    <w:rsid w:val="00D82FF7"/>
    <w:rsid w:val="00D847FE"/>
    <w:rsid w:val="00D953DE"/>
    <w:rsid w:val="00D96225"/>
    <w:rsid w:val="00D964EA"/>
    <w:rsid w:val="00D966D0"/>
    <w:rsid w:val="00DA0C59"/>
    <w:rsid w:val="00DA3991"/>
    <w:rsid w:val="00DA6BED"/>
    <w:rsid w:val="00DB70CD"/>
    <w:rsid w:val="00DB7E6C"/>
    <w:rsid w:val="00DD5A29"/>
    <w:rsid w:val="00DD5D9D"/>
    <w:rsid w:val="00DE35CB"/>
    <w:rsid w:val="00DE7107"/>
    <w:rsid w:val="00DF21E9"/>
    <w:rsid w:val="00DF370C"/>
    <w:rsid w:val="00E00F14"/>
    <w:rsid w:val="00E06386"/>
    <w:rsid w:val="00E1180A"/>
    <w:rsid w:val="00E24EB4"/>
    <w:rsid w:val="00E250C1"/>
    <w:rsid w:val="00E26EDB"/>
    <w:rsid w:val="00E320ED"/>
    <w:rsid w:val="00E33AFB"/>
    <w:rsid w:val="00E341AF"/>
    <w:rsid w:val="00E34218"/>
    <w:rsid w:val="00E35C7F"/>
    <w:rsid w:val="00E45D3E"/>
    <w:rsid w:val="00E46282"/>
    <w:rsid w:val="00E5216E"/>
    <w:rsid w:val="00E54990"/>
    <w:rsid w:val="00E60B55"/>
    <w:rsid w:val="00E82344"/>
    <w:rsid w:val="00E84C82"/>
    <w:rsid w:val="00E84D64"/>
    <w:rsid w:val="00E87408"/>
    <w:rsid w:val="00E914C4"/>
    <w:rsid w:val="00E934F5"/>
    <w:rsid w:val="00E96961"/>
    <w:rsid w:val="00E96E34"/>
    <w:rsid w:val="00EA09FA"/>
    <w:rsid w:val="00EA72EC"/>
    <w:rsid w:val="00EB11CB"/>
    <w:rsid w:val="00EB275A"/>
    <w:rsid w:val="00EB56D4"/>
    <w:rsid w:val="00EB60DD"/>
    <w:rsid w:val="00EB786A"/>
    <w:rsid w:val="00EC1578"/>
    <w:rsid w:val="00EC1C72"/>
    <w:rsid w:val="00EC3CC9"/>
    <w:rsid w:val="00EC420C"/>
    <w:rsid w:val="00EC680A"/>
    <w:rsid w:val="00ED7C5E"/>
    <w:rsid w:val="00EE07FF"/>
    <w:rsid w:val="00EE2BED"/>
    <w:rsid w:val="00EE374B"/>
    <w:rsid w:val="00EE38FC"/>
    <w:rsid w:val="00EE7BD1"/>
    <w:rsid w:val="00EF0530"/>
    <w:rsid w:val="00EF27D2"/>
    <w:rsid w:val="00F021F0"/>
    <w:rsid w:val="00F11BB5"/>
    <w:rsid w:val="00F1417B"/>
    <w:rsid w:val="00F17837"/>
    <w:rsid w:val="00F3027B"/>
    <w:rsid w:val="00F34B99"/>
    <w:rsid w:val="00F40296"/>
    <w:rsid w:val="00F4400C"/>
    <w:rsid w:val="00F45F7D"/>
    <w:rsid w:val="00F52DAB"/>
    <w:rsid w:val="00F543F0"/>
    <w:rsid w:val="00F57B96"/>
    <w:rsid w:val="00F676B1"/>
    <w:rsid w:val="00F67DA8"/>
    <w:rsid w:val="00F73F73"/>
    <w:rsid w:val="00F770CD"/>
    <w:rsid w:val="00F81D29"/>
    <w:rsid w:val="00F9101A"/>
    <w:rsid w:val="00F91C4D"/>
    <w:rsid w:val="00F92FD9"/>
    <w:rsid w:val="00F93FB9"/>
    <w:rsid w:val="00FA0960"/>
    <w:rsid w:val="00FA6684"/>
    <w:rsid w:val="00FA731E"/>
    <w:rsid w:val="00FB0617"/>
    <w:rsid w:val="00FB23C7"/>
    <w:rsid w:val="00FB2B38"/>
    <w:rsid w:val="00FC37F5"/>
    <w:rsid w:val="00FC6358"/>
    <w:rsid w:val="00FD320D"/>
    <w:rsid w:val="00FE23DE"/>
    <w:rsid w:val="00FE2984"/>
    <w:rsid w:val="00FF0845"/>
    <w:rsid w:val="00FF1AE0"/>
    <w:rsid w:val="00FF3D76"/>
    <w:rsid w:val="01722330"/>
    <w:rsid w:val="018F0A2F"/>
    <w:rsid w:val="01F175EA"/>
    <w:rsid w:val="02111B48"/>
    <w:rsid w:val="02132FB3"/>
    <w:rsid w:val="027D0F8C"/>
    <w:rsid w:val="03725F44"/>
    <w:rsid w:val="0479287B"/>
    <w:rsid w:val="05D15A76"/>
    <w:rsid w:val="05D709B3"/>
    <w:rsid w:val="066D0994"/>
    <w:rsid w:val="06B156A8"/>
    <w:rsid w:val="0796521D"/>
    <w:rsid w:val="0AFD1F23"/>
    <w:rsid w:val="0BF84CD2"/>
    <w:rsid w:val="0D69257E"/>
    <w:rsid w:val="0E252C04"/>
    <w:rsid w:val="0E6E56AA"/>
    <w:rsid w:val="0E9E6512"/>
    <w:rsid w:val="0EA03AF6"/>
    <w:rsid w:val="0EB775D4"/>
    <w:rsid w:val="0EC53109"/>
    <w:rsid w:val="0F813CDB"/>
    <w:rsid w:val="0F9C2426"/>
    <w:rsid w:val="1021306D"/>
    <w:rsid w:val="104579BD"/>
    <w:rsid w:val="1053332C"/>
    <w:rsid w:val="10C342D4"/>
    <w:rsid w:val="11303A74"/>
    <w:rsid w:val="11C73FD2"/>
    <w:rsid w:val="14087D53"/>
    <w:rsid w:val="15840B9C"/>
    <w:rsid w:val="15D05455"/>
    <w:rsid w:val="15DB44F0"/>
    <w:rsid w:val="160C4380"/>
    <w:rsid w:val="171F6CD4"/>
    <w:rsid w:val="174F2A9F"/>
    <w:rsid w:val="17C55C87"/>
    <w:rsid w:val="184313F5"/>
    <w:rsid w:val="18833979"/>
    <w:rsid w:val="18843A2A"/>
    <w:rsid w:val="189015C1"/>
    <w:rsid w:val="19E020D4"/>
    <w:rsid w:val="1A450189"/>
    <w:rsid w:val="1B2220B4"/>
    <w:rsid w:val="1BF95B98"/>
    <w:rsid w:val="1C0C0F5F"/>
    <w:rsid w:val="1C462BAA"/>
    <w:rsid w:val="1C472EA9"/>
    <w:rsid w:val="1C893859"/>
    <w:rsid w:val="1CA64329"/>
    <w:rsid w:val="1CC84742"/>
    <w:rsid w:val="1D1B667B"/>
    <w:rsid w:val="1D4330A6"/>
    <w:rsid w:val="1E3E4A7A"/>
    <w:rsid w:val="1E7D6144"/>
    <w:rsid w:val="1F0552BF"/>
    <w:rsid w:val="1F07694E"/>
    <w:rsid w:val="20195666"/>
    <w:rsid w:val="20ED7E33"/>
    <w:rsid w:val="20F13D8F"/>
    <w:rsid w:val="213B22BC"/>
    <w:rsid w:val="215732D1"/>
    <w:rsid w:val="21787C6A"/>
    <w:rsid w:val="21875F9D"/>
    <w:rsid w:val="21E66685"/>
    <w:rsid w:val="23024E6A"/>
    <w:rsid w:val="23DC5A9E"/>
    <w:rsid w:val="250D4186"/>
    <w:rsid w:val="25665B84"/>
    <w:rsid w:val="25E35A16"/>
    <w:rsid w:val="268C7F6C"/>
    <w:rsid w:val="2839212D"/>
    <w:rsid w:val="2853511F"/>
    <w:rsid w:val="28E97FBE"/>
    <w:rsid w:val="2A910FEB"/>
    <w:rsid w:val="2AC73AE6"/>
    <w:rsid w:val="2C584947"/>
    <w:rsid w:val="2D3B78F6"/>
    <w:rsid w:val="2E460579"/>
    <w:rsid w:val="2E635F37"/>
    <w:rsid w:val="2E6E522C"/>
    <w:rsid w:val="2EC00FD9"/>
    <w:rsid w:val="30356F71"/>
    <w:rsid w:val="30B051A8"/>
    <w:rsid w:val="312524A7"/>
    <w:rsid w:val="31293732"/>
    <w:rsid w:val="315C2836"/>
    <w:rsid w:val="318A0792"/>
    <w:rsid w:val="31DF7CCE"/>
    <w:rsid w:val="320A2BCE"/>
    <w:rsid w:val="35532507"/>
    <w:rsid w:val="37423D01"/>
    <w:rsid w:val="37625CCA"/>
    <w:rsid w:val="37BF1A5B"/>
    <w:rsid w:val="37C2312B"/>
    <w:rsid w:val="397736FE"/>
    <w:rsid w:val="39C62C3D"/>
    <w:rsid w:val="39D326B8"/>
    <w:rsid w:val="39FA79F4"/>
    <w:rsid w:val="39FF1CAB"/>
    <w:rsid w:val="3A217E73"/>
    <w:rsid w:val="3A9B69B4"/>
    <w:rsid w:val="3AC04ABC"/>
    <w:rsid w:val="3BE83601"/>
    <w:rsid w:val="3C6779A4"/>
    <w:rsid w:val="3DE251A7"/>
    <w:rsid w:val="3E46307B"/>
    <w:rsid w:val="3F00274D"/>
    <w:rsid w:val="3FCA68B7"/>
    <w:rsid w:val="4046370F"/>
    <w:rsid w:val="404901A0"/>
    <w:rsid w:val="40A80C6B"/>
    <w:rsid w:val="418922F2"/>
    <w:rsid w:val="41E96DDE"/>
    <w:rsid w:val="43882D11"/>
    <w:rsid w:val="441F71D0"/>
    <w:rsid w:val="44330ECF"/>
    <w:rsid w:val="44344B9B"/>
    <w:rsid w:val="448D4164"/>
    <w:rsid w:val="456E0EF6"/>
    <w:rsid w:val="458A5B44"/>
    <w:rsid w:val="459F47AA"/>
    <w:rsid w:val="45CC5732"/>
    <w:rsid w:val="487E528E"/>
    <w:rsid w:val="495A6EFE"/>
    <w:rsid w:val="49A31DEF"/>
    <w:rsid w:val="49D73681"/>
    <w:rsid w:val="4A01737A"/>
    <w:rsid w:val="4A2F038B"/>
    <w:rsid w:val="4A920B63"/>
    <w:rsid w:val="4AAC0BDE"/>
    <w:rsid w:val="4B1C29DF"/>
    <w:rsid w:val="4B20630A"/>
    <w:rsid w:val="4B40456B"/>
    <w:rsid w:val="4B4416B8"/>
    <w:rsid w:val="4BA24482"/>
    <w:rsid w:val="4BC447B3"/>
    <w:rsid w:val="4D2E2925"/>
    <w:rsid w:val="4D5C766A"/>
    <w:rsid w:val="4DBF1A26"/>
    <w:rsid w:val="4E8C5DAC"/>
    <w:rsid w:val="4F905428"/>
    <w:rsid w:val="4FB00281"/>
    <w:rsid w:val="50CE1BDD"/>
    <w:rsid w:val="526130AB"/>
    <w:rsid w:val="52AD1E4F"/>
    <w:rsid w:val="52BB7C24"/>
    <w:rsid w:val="53B8765E"/>
    <w:rsid w:val="53D97FF0"/>
    <w:rsid w:val="54E64C04"/>
    <w:rsid w:val="5537260D"/>
    <w:rsid w:val="55DC7E88"/>
    <w:rsid w:val="55FE63BD"/>
    <w:rsid w:val="5650159B"/>
    <w:rsid w:val="568C5467"/>
    <w:rsid w:val="575809DA"/>
    <w:rsid w:val="57B679F5"/>
    <w:rsid w:val="58931299"/>
    <w:rsid w:val="5AD14B46"/>
    <w:rsid w:val="5AF71CEE"/>
    <w:rsid w:val="5B102BAE"/>
    <w:rsid w:val="5BE53CFE"/>
    <w:rsid w:val="5C550FBC"/>
    <w:rsid w:val="5D107BA8"/>
    <w:rsid w:val="5D656062"/>
    <w:rsid w:val="5F8D7BC7"/>
    <w:rsid w:val="60005944"/>
    <w:rsid w:val="600E3954"/>
    <w:rsid w:val="601036A3"/>
    <w:rsid w:val="605E38C9"/>
    <w:rsid w:val="60E554D5"/>
    <w:rsid w:val="61D74C8C"/>
    <w:rsid w:val="62532A5A"/>
    <w:rsid w:val="62C36DC4"/>
    <w:rsid w:val="62CE4D7E"/>
    <w:rsid w:val="63D42C55"/>
    <w:rsid w:val="641A3310"/>
    <w:rsid w:val="643249B5"/>
    <w:rsid w:val="64647640"/>
    <w:rsid w:val="65731D43"/>
    <w:rsid w:val="65C857EF"/>
    <w:rsid w:val="661C75BD"/>
    <w:rsid w:val="6683418B"/>
    <w:rsid w:val="66C86D28"/>
    <w:rsid w:val="66E16111"/>
    <w:rsid w:val="679C6C08"/>
    <w:rsid w:val="679F4002"/>
    <w:rsid w:val="67A1421E"/>
    <w:rsid w:val="682661D0"/>
    <w:rsid w:val="68BE7A11"/>
    <w:rsid w:val="697471BC"/>
    <w:rsid w:val="699C477C"/>
    <w:rsid w:val="69FE7DCE"/>
    <w:rsid w:val="6A203464"/>
    <w:rsid w:val="6B1B7893"/>
    <w:rsid w:val="6B356FEF"/>
    <w:rsid w:val="6C1871C0"/>
    <w:rsid w:val="6D711C78"/>
    <w:rsid w:val="6D7B1726"/>
    <w:rsid w:val="6E57566D"/>
    <w:rsid w:val="6E6C64A7"/>
    <w:rsid w:val="6E9A5102"/>
    <w:rsid w:val="6EC86534"/>
    <w:rsid w:val="6EE113A4"/>
    <w:rsid w:val="6EF975B7"/>
    <w:rsid w:val="6F3A5609"/>
    <w:rsid w:val="70265DD6"/>
    <w:rsid w:val="71197574"/>
    <w:rsid w:val="71236619"/>
    <w:rsid w:val="71572455"/>
    <w:rsid w:val="71A62431"/>
    <w:rsid w:val="71F87130"/>
    <w:rsid w:val="726378D3"/>
    <w:rsid w:val="729A3992"/>
    <w:rsid w:val="72C72C5E"/>
    <w:rsid w:val="73304CDA"/>
    <w:rsid w:val="735F152C"/>
    <w:rsid w:val="75515EFB"/>
    <w:rsid w:val="759A405B"/>
    <w:rsid w:val="75BF642D"/>
    <w:rsid w:val="7605012D"/>
    <w:rsid w:val="76EB45C6"/>
    <w:rsid w:val="77FE4D75"/>
    <w:rsid w:val="784A7FBA"/>
    <w:rsid w:val="796D7F54"/>
    <w:rsid w:val="79AB512C"/>
    <w:rsid w:val="7AE2097E"/>
    <w:rsid w:val="7AEF2103"/>
    <w:rsid w:val="7C131568"/>
    <w:rsid w:val="7C4471B6"/>
    <w:rsid w:val="7C856D36"/>
    <w:rsid w:val="7CAE3882"/>
    <w:rsid w:val="7DA73407"/>
    <w:rsid w:val="7E0E0FA1"/>
    <w:rsid w:val="7E7B37FF"/>
    <w:rsid w:val="7F564CB5"/>
    <w:rsid w:val="7FA67112"/>
    <w:rsid w:val="7FE50CA2"/>
    <w:rsid w:val="7FF16F6D"/>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f">
      <v:fill on="t" focussize="0,0"/>
      <v:stroke on="f"/>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qFormat="1" w:unhideWhenUsed="0" w:uiPriority="0" w:name="endnote reference"/>
    <w:lsdException w:qFormat="1" w:unhideWhenUsed="0" w:uiPriority="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9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3"/>
    <w:qFormat/>
    <w:uiPriority w:val="0"/>
    <w:pPr>
      <w:keepNext/>
      <w:keepLines/>
      <w:spacing w:before="340" w:after="330"/>
      <w:jc w:val="center"/>
      <w:outlineLvl w:val="0"/>
    </w:pPr>
    <w:rPr>
      <w:rFonts w:eastAsia="黑体"/>
      <w:kern w:val="44"/>
      <w:sz w:val="32"/>
    </w:rPr>
  </w:style>
  <w:style w:type="paragraph" w:styleId="3">
    <w:name w:val="heading 2"/>
    <w:basedOn w:val="1"/>
    <w:next w:val="1"/>
    <w:link w:val="44"/>
    <w:qFormat/>
    <w:uiPriority w:val="0"/>
    <w:pPr>
      <w:keepNext/>
      <w:keepLines/>
      <w:spacing w:before="120" w:after="120" w:line="413" w:lineRule="auto"/>
      <w:jc w:val="center"/>
      <w:outlineLvl w:val="1"/>
    </w:pPr>
    <w:rPr>
      <w:rFonts w:ascii="Arial" w:hAnsi="Arial"/>
      <w:b/>
      <w:sz w:val="28"/>
    </w:rPr>
  </w:style>
  <w:style w:type="paragraph" w:styleId="4">
    <w:name w:val="heading 3"/>
    <w:basedOn w:val="1"/>
    <w:next w:val="1"/>
    <w:link w:val="45"/>
    <w:qFormat/>
    <w:uiPriority w:val="0"/>
    <w:pPr>
      <w:keepNext/>
      <w:keepLines/>
      <w:spacing w:before="100" w:beforeLines="100" w:after="100" w:afterLines="100" w:line="360" w:lineRule="exact"/>
      <w:jc w:val="center"/>
      <w:outlineLvl w:val="2"/>
    </w:pPr>
    <w:rPr>
      <w:rFonts w:eastAsia="黑体"/>
      <w:sz w:val="28"/>
    </w:rPr>
  </w:style>
  <w:style w:type="character" w:default="1" w:styleId="36">
    <w:name w:val="Default Paragraph Font"/>
    <w:semiHidden/>
    <w:qFormat/>
    <w:uiPriority w:val="0"/>
  </w:style>
  <w:style w:type="table" w:default="1" w:styleId="34">
    <w:name w:val="Normal Table"/>
    <w:semiHidden/>
    <w:qFormat/>
    <w:uiPriority w:val="0"/>
    <w:tblPr>
      <w:tblCellMar>
        <w:top w:w="0" w:type="dxa"/>
        <w:left w:w="108" w:type="dxa"/>
        <w:bottom w:w="0" w:type="dxa"/>
        <w:right w:w="108" w:type="dxa"/>
      </w:tblCellMar>
    </w:tblPr>
  </w:style>
  <w:style w:type="paragraph" w:styleId="5">
    <w:name w:val="toc 7"/>
    <w:basedOn w:val="1"/>
    <w:next w:val="1"/>
    <w:semiHidden/>
    <w:qFormat/>
    <w:uiPriority w:val="0"/>
    <w:pPr>
      <w:tabs>
        <w:tab w:val="right" w:leader="dot" w:pos="9241"/>
      </w:tabs>
      <w:ind w:firstLine="505" w:firstLineChars="500"/>
      <w:jc w:val="left"/>
    </w:pPr>
    <w:rPr>
      <w:rFonts w:ascii="宋体"/>
      <w:szCs w:val="21"/>
    </w:rPr>
  </w:style>
  <w:style w:type="paragraph" w:styleId="6">
    <w:name w:val="index 8"/>
    <w:basedOn w:val="1"/>
    <w:next w:val="1"/>
    <w:qFormat/>
    <w:uiPriority w:val="0"/>
    <w:pPr>
      <w:ind w:left="1680" w:hanging="210"/>
      <w:jc w:val="left"/>
    </w:pPr>
    <w:rPr>
      <w:rFonts w:ascii="Calibri" w:hAnsi="Calibri"/>
      <w:sz w:val="20"/>
      <w:szCs w:val="20"/>
    </w:rPr>
  </w:style>
  <w:style w:type="paragraph" w:styleId="7">
    <w:name w:val="caption"/>
    <w:basedOn w:val="1"/>
    <w:next w:val="1"/>
    <w:qFormat/>
    <w:uiPriority w:val="0"/>
    <w:pPr>
      <w:spacing w:before="152" w:after="160"/>
    </w:pPr>
    <w:rPr>
      <w:rFonts w:ascii="Arial" w:hAnsi="Arial" w:eastAsia="黑体" w:cs="Arial"/>
      <w:sz w:val="20"/>
      <w:szCs w:val="20"/>
    </w:rPr>
  </w:style>
  <w:style w:type="paragraph" w:styleId="8">
    <w:name w:val="index 5"/>
    <w:basedOn w:val="1"/>
    <w:next w:val="1"/>
    <w:qFormat/>
    <w:uiPriority w:val="0"/>
    <w:pPr>
      <w:ind w:left="1050" w:hanging="210"/>
      <w:jc w:val="left"/>
    </w:pPr>
    <w:rPr>
      <w:rFonts w:ascii="Calibri" w:hAnsi="Calibri"/>
      <w:sz w:val="20"/>
      <w:szCs w:val="20"/>
    </w:rPr>
  </w:style>
  <w:style w:type="paragraph" w:styleId="9">
    <w:name w:val="Document Map"/>
    <w:basedOn w:val="1"/>
    <w:semiHidden/>
    <w:qFormat/>
    <w:uiPriority w:val="0"/>
    <w:pPr>
      <w:shd w:val="clear" w:color="auto" w:fill="000080"/>
    </w:pPr>
  </w:style>
  <w:style w:type="paragraph" w:styleId="10">
    <w:name w:val="index 6"/>
    <w:basedOn w:val="1"/>
    <w:next w:val="1"/>
    <w:qFormat/>
    <w:uiPriority w:val="0"/>
    <w:pPr>
      <w:ind w:left="1260" w:hanging="210"/>
      <w:jc w:val="left"/>
    </w:pPr>
    <w:rPr>
      <w:rFonts w:ascii="Calibri" w:hAnsi="Calibri"/>
      <w:sz w:val="20"/>
      <w:szCs w:val="20"/>
    </w:rPr>
  </w:style>
  <w:style w:type="paragraph" w:styleId="11">
    <w:name w:val="index 4"/>
    <w:basedOn w:val="1"/>
    <w:next w:val="1"/>
    <w:qFormat/>
    <w:uiPriority w:val="0"/>
    <w:pPr>
      <w:ind w:left="840" w:hanging="210"/>
      <w:jc w:val="left"/>
    </w:pPr>
    <w:rPr>
      <w:rFonts w:ascii="Calibri" w:hAnsi="Calibri"/>
      <w:sz w:val="20"/>
      <w:szCs w:val="20"/>
    </w:rPr>
  </w:style>
  <w:style w:type="paragraph" w:styleId="12">
    <w:name w:val="toc 5"/>
    <w:basedOn w:val="1"/>
    <w:next w:val="1"/>
    <w:semiHidden/>
    <w:qFormat/>
    <w:uiPriority w:val="0"/>
    <w:pPr>
      <w:tabs>
        <w:tab w:val="right" w:leader="dot" w:pos="9241"/>
      </w:tabs>
      <w:ind w:firstLine="300" w:firstLineChars="300"/>
      <w:jc w:val="left"/>
    </w:pPr>
    <w:rPr>
      <w:rFonts w:ascii="宋体"/>
      <w:szCs w:val="21"/>
    </w:rPr>
  </w:style>
  <w:style w:type="paragraph" w:styleId="13">
    <w:name w:val="toc 3"/>
    <w:basedOn w:val="1"/>
    <w:next w:val="1"/>
    <w:qFormat/>
    <w:uiPriority w:val="39"/>
    <w:pPr>
      <w:tabs>
        <w:tab w:val="right" w:leader="dot" w:pos="9241"/>
      </w:tabs>
      <w:ind w:firstLine="102" w:firstLineChars="100"/>
      <w:jc w:val="left"/>
    </w:pPr>
    <w:rPr>
      <w:rFonts w:ascii="宋体"/>
      <w:szCs w:val="21"/>
    </w:rPr>
  </w:style>
  <w:style w:type="paragraph" w:styleId="14">
    <w:name w:val="toc 8"/>
    <w:basedOn w:val="1"/>
    <w:next w:val="1"/>
    <w:semiHidden/>
    <w:qFormat/>
    <w:uiPriority w:val="0"/>
    <w:pPr>
      <w:tabs>
        <w:tab w:val="right" w:leader="dot" w:pos="9241"/>
      </w:tabs>
      <w:ind w:firstLine="607" w:firstLineChars="600"/>
      <w:jc w:val="left"/>
    </w:pPr>
    <w:rPr>
      <w:rFonts w:ascii="宋体"/>
      <w:szCs w:val="21"/>
    </w:rPr>
  </w:style>
  <w:style w:type="paragraph" w:styleId="15">
    <w:name w:val="index 3"/>
    <w:basedOn w:val="1"/>
    <w:next w:val="1"/>
    <w:qFormat/>
    <w:uiPriority w:val="0"/>
    <w:pPr>
      <w:ind w:left="630" w:hanging="210"/>
      <w:jc w:val="left"/>
    </w:pPr>
    <w:rPr>
      <w:rFonts w:ascii="Calibri" w:hAnsi="Calibri"/>
      <w:sz w:val="20"/>
      <w:szCs w:val="20"/>
    </w:rPr>
  </w:style>
  <w:style w:type="paragraph" w:styleId="16">
    <w:name w:val="Date"/>
    <w:basedOn w:val="1"/>
    <w:next w:val="1"/>
    <w:link w:val="46"/>
    <w:qFormat/>
    <w:uiPriority w:val="0"/>
    <w:pPr>
      <w:ind w:left="100" w:leftChars="2500"/>
    </w:pPr>
  </w:style>
  <w:style w:type="paragraph" w:styleId="17">
    <w:name w:val="endnote text"/>
    <w:basedOn w:val="1"/>
    <w:semiHidden/>
    <w:qFormat/>
    <w:uiPriority w:val="0"/>
    <w:pPr>
      <w:snapToGrid w:val="0"/>
      <w:jc w:val="left"/>
    </w:pPr>
  </w:style>
  <w:style w:type="paragraph" w:styleId="18">
    <w:name w:val="Balloon Text"/>
    <w:basedOn w:val="1"/>
    <w:link w:val="47"/>
    <w:qFormat/>
    <w:uiPriority w:val="0"/>
    <w:rPr>
      <w:sz w:val="18"/>
      <w:szCs w:val="18"/>
    </w:rPr>
  </w:style>
  <w:style w:type="paragraph" w:styleId="19">
    <w:name w:val="footer"/>
    <w:basedOn w:val="1"/>
    <w:qFormat/>
    <w:uiPriority w:val="0"/>
    <w:pPr>
      <w:snapToGrid w:val="0"/>
      <w:ind w:right="210" w:rightChars="100"/>
      <w:jc w:val="right"/>
    </w:pPr>
    <w:rPr>
      <w:sz w:val="18"/>
      <w:szCs w:val="18"/>
    </w:rPr>
  </w:style>
  <w:style w:type="paragraph" w:styleId="20">
    <w:name w:val="header"/>
    <w:basedOn w:val="1"/>
    <w:qFormat/>
    <w:uiPriority w:val="0"/>
    <w:pPr>
      <w:snapToGrid w:val="0"/>
      <w:jc w:val="left"/>
    </w:pPr>
    <w:rPr>
      <w:sz w:val="18"/>
      <w:szCs w:val="18"/>
    </w:rPr>
  </w:style>
  <w:style w:type="paragraph" w:styleId="21">
    <w:name w:val="toc 1"/>
    <w:basedOn w:val="1"/>
    <w:next w:val="1"/>
    <w:qFormat/>
    <w:uiPriority w:val="39"/>
    <w:pPr>
      <w:tabs>
        <w:tab w:val="right" w:leader="dot" w:pos="9241"/>
      </w:tabs>
      <w:spacing w:before="25" w:beforeLines="25" w:after="25" w:afterLines="25"/>
      <w:jc w:val="left"/>
    </w:pPr>
    <w:rPr>
      <w:rFonts w:ascii="宋体"/>
      <w:szCs w:val="21"/>
    </w:rPr>
  </w:style>
  <w:style w:type="paragraph" w:styleId="22">
    <w:name w:val="toc 4"/>
    <w:basedOn w:val="1"/>
    <w:next w:val="1"/>
    <w:qFormat/>
    <w:uiPriority w:val="39"/>
    <w:pPr>
      <w:tabs>
        <w:tab w:val="right" w:leader="dot" w:pos="9241"/>
      </w:tabs>
      <w:ind w:firstLine="198" w:firstLineChars="200"/>
      <w:jc w:val="left"/>
    </w:pPr>
    <w:rPr>
      <w:rFonts w:ascii="宋体"/>
      <w:szCs w:val="21"/>
    </w:rPr>
  </w:style>
  <w:style w:type="paragraph" w:styleId="23">
    <w:name w:val="index heading"/>
    <w:basedOn w:val="1"/>
    <w:next w:val="24"/>
    <w:qFormat/>
    <w:uiPriority w:val="0"/>
    <w:pPr>
      <w:spacing w:before="120" w:after="120"/>
      <w:jc w:val="center"/>
    </w:pPr>
    <w:rPr>
      <w:rFonts w:ascii="Calibri" w:hAnsi="Calibri"/>
      <w:b/>
      <w:bCs/>
      <w:iCs/>
      <w:szCs w:val="20"/>
    </w:rPr>
  </w:style>
  <w:style w:type="paragraph" w:styleId="24">
    <w:name w:val="index 1"/>
    <w:basedOn w:val="1"/>
    <w:next w:val="25"/>
    <w:qFormat/>
    <w:uiPriority w:val="0"/>
    <w:pPr>
      <w:tabs>
        <w:tab w:val="right" w:leader="dot" w:pos="9299"/>
      </w:tabs>
      <w:jc w:val="left"/>
    </w:pPr>
    <w:rPr>
      <w:rFonts w:ascii="宋体"/>
      <w:szCs w:val="21"/>
    </w:rPr>
  </w:style>
  <w:style w:type="paragraph" w:customStyle="1" w:styleId="25">
    <w:name w:val="段"/>
    <w:link w:val="48"/>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styleId="26">
    <w:name w:val="footnote text"/>
    <w:basedOn w:val="1"/>
    <w:qFormat/>
    <w:uiPriority w:val="0"/>
    <w:pPr>
      <w:numPr>
        <w:ilvl w:val="0"/>
        <w:numId w:val="1"/>
      </w:numPr>
      <w:snapToGrid w:val="0"/>
      <w:jc w:val="left"/>
    </w:pPr>
    <w:rPr>
      <w:rFonts w:ascii="宋体"/>
      <w:sz w:val="18"/>
      <w:szCs w:val="18"/>
    </w:rPr>
  </w:style>
  <w:style w:type="paragraph" w:styleId="27">
    <w:name w:val="toc 6"/>
    <w:basedOn w:val="1"/>
    <w:next w:val="1"/>
    <w:semiHidden/>
    <w:qFormat/>
    <w:uiPriority w:val="0"/>
    <w:pPr>
      <w:tabs>
        <w:tab w:val="right" w:leader="dot" w:pos="9241"/>
      </w:tabs>
      <w:ind w:firstLine="403" w:firstLineChars="400"/>
      <w:jc w:val="left"/>
    </w:pPr>
    <w:rPr>
      <w:rFonts w:ascii="宋体"/>
      <w:szCs w:val="21"/>
    </w:rPr>
  </w:style>
  <w:style w:type="paragraph" w:styleId="28">
    <w:name w:val="index 7"/>
    <w:basedOn w:val="1"/>
    <w:next w:val="1"/>
    <w:qFormat/>
    <w:uiPriority w:val="0"/>
    <w:pPr>
      <w:ind w:left="1470" w:hanging="210"/>
      <w:jc w:val="left"/>
    </w:pPr>
    <w:rPr>
      <w:rFonts w:ascii="Calibri" w:hAnsi="Calibri"/>
      <w:sz w:val="20"/>
      <w:szCs w:val="20"/>
    </w:rPr>
  </w:style>
  <w:style w:type="paragraph" w:styleId="29">
    <w:name w:val="index 9"/>
    <w:basedOn w:val="1"/>
    <w:next w:val="1"/>
    <w:qFormat/>
    <w:uiPriority w:val="0"/>
    <w:pPr>
      <w:ind w:left="1890" w:hanging="210"/>
      <w:jc w:val="left"/>
    </w:pPr>
    <w:rPr>
      <w:rFonts w:ascii="Calibri" w:hAnsi="Calibri"/>
      <w:sz w:val="20"/>
      <w:szCs w:val="20"/>
    </w:rPr>
  </w:style>
  <w:style w:type="paragraph" w:styleId="30">
    <w:name w:val="toc 2"/>
    <w:basedOn w:val="1"/>
    <w:next w:val="1"/>
    <w:qFormat/>
    <w:uiPriority w:val="39"/>
    <w:pPr>
      <w:tabs>
        <w:tab w:val="right" w:leader="dot" w:pos="9241"/>
      </w:tabs>
    </w:pPr>
    <w:rPr>
      <w:rFonts w:ascii="宋体"/>
      <w:szCs w:val="21"/>
    </w:rPr>
  </w:style>
  <w:style w:type="paragraph" w:styleId="31">
    <w:name w:val="toc 9"/>
    <w:basedOn w:val="1"/>
    <w:next w:val="1"/>
    <w:semiHidden/>
    <w:qFormat/>
    <w:uiPriority w:val="0"/>
    <w:pPr>
      <w:ind w:left="1470"/>
      <w:jc w:val="left"/>
    </w:pPr>
    <w:rPr>
      <w:sz w:val="20"/>
      <w:szCs w:val="20"/>
    </w:rPr>
  </w:style>
  <w:style w:type="paragraph" w:styleId="32">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33">
    <w:name w:val="index 2"/>
    <w:basedOn w:val="1"/>
    <w:next w:val="1"/>
    <w:qFormat/>
    <w:uiPriority w:val="0"/>
    <w:pPr>
      <w:ind w:left="420" w:hanging="210"/>
      <w:jc w:val="left"/>
    </w:pPr>
    <w:rPr>
      <w:rFonts w:ascii="Calibri" w:hAnsi="Calibri"/>
      <w:sz w:val="20"/>
      <w:szCs w:val="20"/>
    </w:rPr>
  </w:style>
  <w:style w:type="table" w:styleId="35">
    <w:name w:val="Table Grid"/>
    <w:basedOn w:val="34"/>
    <w:qFormat/>
    <w:uiPriority w:val="9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7">
    <w:name w:val="Strong"/>
    <w:qFormat/>
    <w:uiPriority w:val="0"/>
    <w:rPr>
      <w:b/>
      <w:bCs/>
    </w:rPr>
  </w:style>
  <w:style w:type="character" w:styleId="38">
    <w:name w:val="endnote reference"/>
    <w:semiHidden/>
    <w:qFormat/>
    <w:uiPriority w:val="0"/>
    <w:rPr>
      <w:vertAlign w:val="superscript"/>
    </w:rPr>
  </w:style>
  <w:style w:type="character" w:styleId="39">
    <w:name w:val="page number"/>
    <w:qFormat/>
    <w:uiPriority w:val="0"/>
    <w:rPr>
      <w:rFonts w:ascii="Times New Roman" w:hAnsi="Times New Roman" w:eastAsia="宋体"/>
      <w:sz w:val="18"/>
    </w:rPr>
  </w:style>
  <w:style w:type="character" w:styleId="40">
    <w:name w:val="FollowedHyperlink"/>
    <w:qFormat/>
    <w:uiPriority w:val="0"/>
    <w:rPr>
      <w:color w:val="800080"/>
      <w:u w:val="single"/>
    </w:rPr>
  </w:style>
  <w:style w:type="character" w:styleId="41">
    <w:name w:val="Hyperlink"/>
    <w:qFormat/>
    <w:uiPriority w:val="99"/>
    <w:rPr>
      <w:color w:val="0000FF"/>
      <w:spacing w:val="0"/>
      <w:w w:val="100"/>
      <w:szCs w:val="21"/>
      <w:u w:val="single"/>
    </w:rPr>
  </w:style>
  <w:style w:type="character" w:styleId="42">
    <w:name w:val="footnote reference"/>
    <w:semiHidden/>
    <w:qFormat/>
    <w:uiPriority w:val="0"/>
    <w:rPr>
      <w:vertAlign w:val="superscript"/>
    </w:rPr>
  </w:style>
  <w:style w:type="character" w:customStyle="1" w:styleId="43">
    <w:name w:val="标题 1 字符"/>
    <w:link w:val="2"/>
    <w:qFormat/>
    <w:uiPriority w:val="0"/>
    <w:rPr>
      <w:rFonts w:eastAsia="黑体"/>
      <w:kern w:val="44"/>
      <w:sz w:val="32"/>
      <w:szCs w:val="24"/>
    </w:rPr>
  </w:style>
  <w:style w:type="character" w:customStyle="1" w:styleId="44">
    <w:name w:val="标题 2 字符1"/>
    <w:link w:val="3"/>
    <w:qFormat/>
    <w:uiPriority w:val="0"/>
    <w:rPr>
      <w:rFonts w:ascii="Arial" w:hAnsi="Arial"/>
      <w:b/>
      <w:kern w:val="2"/>
      <w:sz w:val="28"/>
      <w:szCs w:val="24"/>
    </w:rPr>
  </w:style>
  <w:style w:type="character" w:customStyle="1" w:styleId="45">
    <w:name w:val="标题 3 字符"/>
    <w:link w:val="4"/>
    <w:qFormat/>
    <w:uiPriority w:val="0"/>
    <w:rPr>
      <w:rFonts w:eastAsia="黑体"/>
      <w:kern w:val="2"/>
      <w:sz w:val="28"/>
      <w:szCs w:val="24"/>
    </w:rPr>
  </w:style>
  <w:style w:type="character" w:customStyle="1" w:styleId="46">
    <w:name w:val="日期 字符"/>
    <w:link w:val="16"/>
    <w:qFormat/>
    <w:uiPriority w:val="0"/>
    <w:rPr>
      <w:kern w:val="2"/>
      <w:sz w:val="21"/>
      <w:szCs w:val="24"/>
    </w:rPr>
  </w:style>
  <w:style w:type="character" w:customStyle="1" w:styleId="47">
    <w:name w:val="批注框文本 字符"/>
    <w:link w:val="18"/>
    <w:qFormat/>
    <w:uiPriority w:val="0"/>
    <w:rPr>
      <w:kern w:val="2"/>
      <w:sz w:val="18"/>
      <w:szCs w:val="18"/>
    </w:rPr>
  </w:style>
  <w:style w:type="character" w:customStyle="1" w:styleId="48">
    <w:name w:val="段 Char"/>
    <w:link w:val="25"/>
    <w:qFormat/>
    <w:uiPriority w:val="0"/>
    <w:rPr>
      <w:rFonts w:ascii="宋体"/>
      <w:sz w:val="21"/>
      <w:lang w:val="en-US" w:eastAsia="zh-CN" w:bidi="ar-SA"/>
    </w:rPr>
  </w:style>
  <w:style w:type="character" w:customStyle="1" w:styleId="49">
    <w:name w:val="段 Char Char"/>
    <w:qFormat/>
    <w:uiPriority w:val="0"/>
    <w:rPr>
      <w:rFonts w:ascii="宋体" w:eastAsia="宋体"/>
      <w:sz w:val="21"/>
      <w:lang w:val="en-US" w:eastAsia="zh-CN" w:bidi="ar-SA"/>
    </w:rPr>
  </w:style>
  <w:style w:type="character" w:customStyle="1" w:styleId="50">
    <w:name w:val="font51"/>
    <w:qFormat/>
    <w:uiPriority w:val="0"/>
    <w:rPr>
      <w:rFonts w:hint="eastAsia" w:ascii="仿宋" w:hAnsi="仿宋" w:eastAsia="仿宋" w:cs="仿宋"/>
      <w:b/>
      <w:color w:val="000000"/>
      <w:sz w:val="22"/>
      <w:szCs w:val="22"/>
      <w:u w:val="none"/>
    </w:rPr>
  </w:style>
  <w:style w:type="character" w:customStyle="1" w:styleId="51">
    <w:name w:val="发布"/>
    <w:qFormat/>
    <w:uiPriority w:val="0"/>
    <w:rPr>
      <w:rFonts w:ascii="黑体" w:eastAsia="黑体"/>
      <w:spacing w:val="85"/>
      <w:w w:val="100"/>
      <w:position w:val="3"/>
      <w:sz w:val="28"/>
      <w:szCs w:val="28"/>
    </w:rPr>
  </w:style>
  <w:style w:type="character" w:customStyle="1" w:styleId="52">
    <w:name w:val="标题 2 字符"/>
    <w:qFormat/>
    <w:uiPriority w:val="0"/>
    <w:rPr>
      <w:rFonts w:ascii="Arial" w:hAnsi="Arial"/>
      <w:b/>
      <w:sz w:val="28"/>
    </w:rPr>
  </w:style>
  <w:style w:type="character" w:customStyle="1" w:styleId="53">
    <w:name w:val="current"/>
    <w:qFormat/>
    <w:uiPriority w:val="0"/>
    <w:rPr>
      <w:color w:val="FFFFFF"/>
      <w:bdr w:val="single" w:color="6699CC" w:sz="6" w:space="0"/>
      <w:shd w:val="clear" w:color="auto" w:fill="6699CC"/>
    </w:rPr>
  </w:style>
  <w:style w:type="character" w:customStyle="1" w:styleId="54">
    <w:name w:val="font11"/>
    <w:qFormat/>
    <w:uiPriority w:val="0"/>
    <w:rPr>
      <w:rFonts w:hint="eastAsia" w:ascii="宋体" w:hAnsi="宋体" w:eastAsia="宋体" w:cs="宋体"/>
      <w:color w:val="000000"/>
      <w:sz w:val="18"/>
      <w:szCs w:val="18"/>
      <w:u w:val="none"/>
    </w:rPr>
  </w:style>
  <w:style w:type="character" w:customStyle="1" w:styleId="55">
    <w:name w:val="font21"/>
    <w:qFormat/>
    <w:uiPriority w:val="0"/>
    <w:rPr>
      <w:rFonts w:hint="eastAsia" w:ascii="宋体" w:hAnsi="宋体" w:eastAsia="宋体" w:cs="宋体"/>
      <w:color w:val="000000"/>
      <w:sz w:val="21"/>
      <w:szCs w:val="21"/>
      <w:u w:val="none"/>
    </w:rPr>
  </w:style>
  <w:style w:type="character" w:customStyle="1" w:styleId="56">
    <w:name w:val="font131"/>
    <w:qFormat/>
    <w:uiPriority w:val="0"/>
    <w:rPr>
      <w:rFonts w:hint="default" w:ascii="Times New Roman" w:hAnsi="Times New Roman" w:cs="Times New Roman"/>
      <w:color w:val="000000"/>
      <w:sz w:val="20"/>
      <w:szCs w:val="20"/>
      <w:u w:val="none"/>
      <w:vertAlign w:val="superscript"/>
    </w:rPr>
  </w:style>
  <w:style w:type="character" w:customStyle="1" w:styleId="57">
    <w:name w:val="正文文本 (2)_"/>
    <w:link w:val="58"/>
    <w:qFormat/>
    <w:uiPriority w:val="0"/>
    <w:rPr>
      <w:rFonts w:ascii="MingLiU" w:hAnsi="MingLiU" w:eastAsia="MingLiU" w:cs="MingLiU"/>
      <w:spacing w:val="20"/>
      <w:sz w:val="21"/>
      <w:szCs w:val="21"/>
      <w:shd w:val="clear" w:color="auto" w:fill="FFFFFF"/>
    </w:rPr>
  </w:style>
  <w:style w:type="paragraph" w:customStyle="1" w:styleId="58">
    <w:name w:val="正文文本 (2)6"/>
    <w:basedOn w:val="1"/>
    <w:link w:val="57"/>
    <w:qFormat/>
    <w:uiPriority w:val="0"/>
    <w:pPr>
      <w:shd w:val="clear" w:color="auto" w:fill="FFFFFF"/>
      <w:spacing w:before="540" w:line="317" w:lineRule="exact"/>
      <w:ind w:hanging="1380"/>
      <w:jc w:val="distribute"/>
    </w:pPr>
    <w:rPr>
      <w:rFonts w:ascii="MingLiU" w:hAnsi="MingLiU" w:eastAsia="MingLiU"/>
      <w:spacing w:val="20"/>
      <w:kern w:val="0"/>
      <w:szCs w:val="21"/>
    </w:rPr>
  </w:style>
  <w:style w:type="character" w:customStyle="1" w:styleId="59">
    <w:name w:val="附录公式 Char"/>
    <w:link w:val="60"/>
    <w:qFormat/>
    <w:uiPriority w:val="0"/>
    <w:rPr>
      <w:lang w:val="en-US" w:eastAsia="zh-CN" w:bidi="ar-SA"/>
    </w:rPr>
  </w:style>
  <w:style w:type="paragraph" w:customStyle="1" w:styleId="60">
    <w:name w:val="附录公式"/>
    <w:basedOn w:val="25"/>
    <w:next w:val="25"/>
    <w:link w:val="59"/>
    <w:qFormat/>
    <w:uiPriority w:val="0"/>
    <w:rPr>
      <w:rFonts w:ascii="Times New Roman"/>
      <w:sz w:val="20"/>
    </w:rPr>
  </w:style>
  <w:style w:type="character" w:customStyle="1" w:styleId="61">
    <w:name w:val="font01"/>
    <w:qFormat/>
    <w:uiPriority w:val="0"/>
    <w:rPr>
      <w:rFonts w:hint="eastAsia" w:ascii="宋体" w:hAnsi="宋体" w:eastAsia="宋体" w:cs="宋体"/>
      <w:color w:val="000000"/>
      <w:sz w:val="20"/>
      <w:szCs w:val="20"/>
      <w:u w:val="none"/>
    </w:rPr>
  </w:style>
  <w:style w:type="character" w:customStyle="1" w:styleId="62">
    <w:name w:val="正文文本 (2) + 7 pt"/>
    <w:qFormat/>
    <w:uiPriority w:val="0"/>
    <w:rPr>
      <w:rFonts w:ascii="MingLiU" w:hAnsi="MingLiU" w:eastAsia="MingLiU" w:cs="MingLiU"/>
      <w:color w:val="000000"/>
      <w:spacing w:val="0"/>
      <w:w w:val="100"/>
      <w:position w:val="0"/>
      <w:sz w:val="14"/>
      <w:szCs w:val="14"/>
      <w:u w:val="none"/>
      <w:lang w:val="zh-TW" w:eastAsia="zh-TW" w:bidi="zh-TW"/>
    </w:rPr>
  </w:style>
  <w:style w:type="character" w:customStyle="1" w:styleId="63">
    <w:name w:val="font71"/>
    <w:qFormat/>
    <w:uiPriority w:val="0"/>
    <w:rPr>
      <w:rFonts w:hint="default" w:ascii="Times New Roman" w:hAnsi="Times New Roman" w:cs="Times New Roman"/>
      <w:color w:val="000000"/>
      <w:sz w:val="22"/>
      <w:szCs w:val="22"/>
      <w:u w:val="none"/>
      <w:vertAlign w:val="superscript"/>
    </w:rPr>
  </w:style>
  <w:style w:type="character" w:customStyle="1" w:styleId="64">
    <w:name w:val="首示例 Char"/>
    <w:link w:val="65"/>
    <w:qFormat/>
    <w:uiPriority w:val="0"/>
    <w:rPr>
      <w:rFonts w:ascii="宋体" w:hAnsi="宋体"/>
      <w:kern w:val="2"/>
      <w:sz w:val="18"/>
      <w:szCs w:val="18"/>
      <w:lang w:val="en-US" w:eastAsia="zh-CN" w:bidi="ar-SA"/>
    </w:rPr>
  </w:style>
  <w:style w:type="paragraph" w:customStyle="1" w:styleId="65">
    <w:name w:val="首示例"/>
    <w:next w:val="25"/>
    <w:link w:val="64"/>
    <w:qFormat/>
    <w:uiPriority w:val="0"/>
    <w:pPr>
      <w:numPr>
        <w:ilvl w:val="0"/>
        <w:numId w:val="2"/>
      </w:numPr>
      <w:tabs>
        <w:tab w:val="left" w:pos="360"/>
      </w:tabs>
      <w:ind w:firstLine="0"/>
    </w:pPr>
    <w:rPr>
      <w:rFonts w:ascii="宋体" w:hAnsi="宋体" w:eastAsia="宋体" w:cs="Times New Roman"/>
      <w:kern w:val="2"/>
      <w:sz w:val="18"/>
      <w:szCs w:val="18"/>
      <w:lang w:val="en-US" w:eastAsia="zh-CN" w:bidi="ar-SA"/>
    </w:rPr>
  </w:style>
  <w:style w:type="character" w:customStyle="1" w:styleId="66">
    <w:name w:val="正文文本 (2) + 7 pt1"/>
    <w:qFormat/>
    <w:uiPriority w:val="0"/>
    <w:rPr>
      <w:rFonts w:ascii="MingLiU" w:hAnsi="MingLiU" w:eastAsia="MingLiU" w:cs="MingLiU"/>
      <w:color w:val="000000"/>
      <w:spacing w:val="0"/>
      <w:w w:val="100"/>
      <w:position w:val="0"/>
      <w:sz w:val="14"/>
      <w:szCs w:val="14"/>
      <w:u w:val="none"/>
      <w:lang w:val="zh-TW" w:eastAsia="zh-TW" w:bidi="zh-TW"/>
    </w:rPr>
  </w:style>
  <w:style w:type="paragraph" w:customStyle="1" w:styleId="67">
    <w:name w:val="附录三级条标题"/>
    <w:basedOn w:val="68"/>
    <w:next w:val="25"/>
    <w:qFormat/>
    <w:uiPriority w:val="0"/>
    <w:pPr>
      <w:numPr>
        <w:ilvl w:val="4"/>
        <w:numId w:val="3"/>
      </w:numPr>
      <w:tabs>
        <w:tab w:val="left" w:pos="360"/>
      </w:tabs>
      <w:outlineLvl w:val="4"/>
    </w:pPr>
  </w:style>
  <w:style w:type="paragraph" w:customStyle="1" w:styleId="68">
    <w:name w:val="附录二级条标题"/>
    <w:basedOn w:val="1"/>
    <w:next w:val="25"/>
    <w:qFormat/>
    <w:uiPriority w:val="0"/>
    <w:pPr>
      <w:widowControl/>
      <w:numPr>
        <w:ilvl w:val="3"/>
        <w:numId w:val="3"/>
      </w:numPr>
      <w:tabs>
        <w:tab w:val="left" w:pos="360"/>
      </w:tabs>
      <w:wordWrap w:val="0"/>
      <w:overflowPunct w:val="0"/>
      <w:autoSpaceDE w:val="0"/>
      <w:autoSpaceDN w:val="0"/>
      <w:spacing w:before="50" w:beforeLines="50" w:after="50" w:afterLines="50"/>
      <w:textAlignment w:val="baseline"/>
      <w:outlineLvl w:val="3"/>
    </w:pPr>
    <w:rPr>
      <w:rFonts w:ascii="黑体" w:eastAsia="黑体"/>
      <w:kern w:val="21"/>
      <w:szCs w:val="20"/>
    </w:rPr>
  </w:style>
  <w:style w:type="paragraph" w:customStyle="1" w:styleId="69">
    <w:name w:val="条文脚注"/>
    <w:basedOn w:val="26"/>
    <w:qFormat/>
    <w:uiPriority w:val="0"/>
    <w:pPr>
      <w:numPr>
        <w:ilvl w:val="0"/>
        <w:numId w:val="0"/>
      </w:numPr>
      <w:jc w:val="both"/>
    </w:pPr>
    <w:rPr>
      <w:rFonts w:ascii="宋体"/>
    </w:rPr>
  </w:style>
  <w:style w:type="paragraph" w:customStyle="1" w:styleId="70">
    <w:name w:val="二级条标题"/>
    <w:basedOn w:val="71"/>
    <w:next w:val="25"/>
    <w:qFormat/>
    <w:uiPriority w:val="0"/>
    <w:pPr>
      <w:numPr>
        <w:ilvl w:val="2"/>
        <w:numId w:val="4"/>
      </w:numPr>
      <w:spacing w:before="50" w:after="50"/>
      <w:outlineLvl w:val="3"/>
    </w:pPr>
  </w:style>
  <w:style w:type="paragraph" w:customStyle="1" w:styleId="71">
    <w:name w:val="一级条标题"/>
    <w:next w:val="25"/>
    <w:qFormat/>
    <w:uiPriority w:val="0"/>
    <w:pPr>
      <w:numPr>
        <w:ilvl w:val="1"/>
        <w:numId w:val="4"/>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72">
    <w:name w:val="其他发布日期"/>
    <w:basedOn w:val="73"/>
    <w:qFormat/>
    <w:uiPriority w:val="0"/>
    <w:pPr>
      <w:framePr w:vAnchor="page" w:hAnchor="page" w:x="1419"/>
    </w:pPr>
  </w:style>
  <w:style w:type="paragraph" w:customStyle="1" w:styleId="73">
    <w:name w:val="发布日期"/>
    <w:qFormat/>
    <w:uiPriority w:val="0"/>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74">
    <w:name w:val="发布部门"/>
    <w:next w:val="25"/>
    <w:qFormat/>
    <w:uiPriority w:val="0"/>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75">
    <w:name w:val="附录标识"/>
    <w:basedOn w:val="1"/>
    <w:next w:val="25"/>
    <w:qFormat/>
    <w:uiPriority w:val="0"/>
    <w:pPr>
      <w:keepNext/>
      <w:widowControl/>
      <w:numPr>
        <w:ilvl w:val="0"/>
        <w:numId w:val="3"/>
      </w:numPr>
      <w:shd w:val="clear" w:color="FFFFFF" w:fill="FFFFFF"/>
      <w:tabs>
        <w:tab w:val="left" w:pos="360"/>
        <w:tab w:val="left" w:pos="6405"/>
      </w:tabs>
      <w:spacing w:before="640" w:after="280"/>
      <w:jc w:val="center"/>
      <w:outlineLvl w:val="0"/>
    </w:pPr>
    <w:rPr>
      <w:rFonts w:ascii="黑体" w:eastAsia="黑体"/>
      <w:kern w:val="0"/>
      <w:szCs w:val="20"/>
    </w:rPr>
  </w:style>
  <w:style w:type="paragraph" w:customStyle="1" w:styleId="76">
    <w:name w:val="封面标准名称2"/>
    <w:basedOn w:val="77"/>
    <w:qFormat/>
    <w:uiPriority w:val="0"/>
    <w:pPr>
      <w:framePr w:y="4469"/>
      <w:spacing w:before="630" w:beforeLines="630"/>
    </w:pPr>
  </w:style>
  <w:style w:type="paragraph" w:customStyle="1" w:styleId="77">
    <w:name w:val="封面标准名称"/>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78">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79">
    <w:name w:val="正文图标题"/>
    <w:next w:val="25"/>
    <w:qFormat/>
    <w:uiPriority w:val="0"/>
    <w:pPr>
      <w:numPr>
        <w:ilvl w:val="0"/>
        <w:numId w:val="5"/>
      </w:num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80">
    <w:name w:val="封面标准文稿类别"/>
    <w:basedOn w:val="81"/>
    <w:qFormat/>
    <w:uiPriority w:val="0"/>
    <w:pPr>
      <w:spacing w:after="160" w:line="240" w:lineRule="auto"/>
    </w:pPr>
    <w:rPr>
      <w:sz w:val="24"/>
    </w:rPr>
  </w:style>
  <w:style w:type="paragraph" w:customStyle="1" w:styleId="81">
    <w:name w:val="封面一致性程度标识"/>
    <w:basedOn w:val="82"/>
    <w:qFormat/>
    <w:uiPriority w:val="0"/>
    <w:pPr>
      <w:spacing w:before="440"/>
    </w:pPr>
    <w:rPr>
      <w:rFonts w:ascii="宋体" w:eastAsia="宋体"/>
    </w:rPr>
  </w:style>
  <w:style w:type="paragraph" w:customStyle="1" w:styleId="82">
    <w:name w:val="封面标准英文名称"/>
    <w:basedOn w:val="77"/>
    <w:qFormat/>
    <w:uiPriority w:val="0"/>
    <w:pPr>
      <w:spacing w:before="370" w:line="400" w:lineRule="exact"/>
    </w:pPr>
    <w:rPr>
      <w:rFonts w:ascii="Times New Roman"/>
      <w:sz w:val="28"/>
      <w:szCs w:val="28"/>
    </w:rPr>
  </w:style>
  <w:style w:type="paragraph" w:customStyle="1" w:styleId="83">
    <w:name w:val="封面正文"/>
    <w:qFormat/>
    <w:uiPriority w:val="0"/>
    <w:pPr>
      <w:jc w:val="both"/>
    </w:pPr>
    <w:rPr>
      <w:rFonts w:ascii="Times New Roman" w:hAnsi="Times New Roman" w:eastAsia="宋体" w:cs="Times New Roman"/>
      <w:lang w:val="en-US" w:eastAsia="zh-CN" w:bidi="ar-SA"/>
    </w:rPr>
  </w:style>
  <w:style w:type="paragraph" w:customStyle="1" w:styleId="84">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85">
    <w:name w:val="字母编号列项（一级）"/>
    <w:qFormat/>
    <w:uiPriority w:val="0"/>
    <w:pPr>
      <w:numPr>
        <w:ilvl w:val="0"/>
        <w:numId w:val="7"/>
      </w:numPr>
      <w:tabs>
        <w:tab w:val="left" w:pos="839"/>
      </w:tabs>
      <w:jc w:val="both"/>
    </w:pPr>
    <w:rPr>
      <w:rFonts w:ascii="宋体" w:hAnsi="Times New Roman" w:eastAsia="宋体" w:cs="Times New Roman"/>
      <w:sz w:val="21"/>
      <w:lang w:val="en-US" w:eastAsia="zh-CN" w:bidi="ar-SA"/>
    </w:rPr>
  </w:style>
  <w:style w:type="paragraph" w:customStyle="1" w:styleId="86">
    <w:name w:val="编号列项（三级）"/>
    <w:qFormat/>
    <w:uiPriority w:val="0"/>
    <w:pPr>
      <w:numPr>
        <w:ilvl w:val="2"/>
        <w:numId w:val="7"/>
      </w:numPr>
      <w:tabs>
        <w:tab w:val="left" w:pos="0"/>
      </w:tabs>
    </w:pPr>
    <w:rPr>
      <w:rFonts w:ascii="宋体" w:hAnsi="Times New Roman" w:eastAsia="宋体" w:cs="Times New Roman"/>
      <w:sz w:val="21"/>
      <w:lang w:val="en-US" w:eastAsia="zh-CN" w:bidi="ar-SA"/>
    </w:rPr>
  </w:style>
  <w:style w:type="paragraph" w:customStyle="1" w:styleId="87">
    <w:name w:val="其他标准标志"/>
    <w:basedOn w:val="88"/>
    <w:qFormat/>
    <w:uiPriority w:val="0"/>
    <w:pPr>
      <w:framePr w:w="6101" w:vAnchor="page" w:hAnchor="page" w:x="4673" w:y="942"/>
    </w:pPr>
    <w:rPr>
      <w:w w:val="130"/>
    </w:rPr>
  </w:style>
  <w:style w:type="paragraph" w:customStyle="1" w:styleId="88">
    <w:name w:val="标准标志"/>
    <w:next w:val="1"/>
    <w:qFormat/>
    <w:uiPriority w:val="0"/>
    <w:pPr>
      <w:framePr w:w="2546" w:h="1389" w:hRule="exact" w:hSpace="181" w:vSpace="181" w:wrap="around" w:vAnchor="margin" w:hAnchor="margin" w:x="6522" w:y="398" w:anchorLock="1"/>
      <w:shd w:val="solid" w:color="FFFFFF" w:fill="FFFFFF"/>
      <w:spacing w:line="0" w:lineRule="atLeast"/>
      <w:jc w:val="right"/>
    </w:pPr>
    <w:rPr>
      <w:rFonts w:ascii="Times New Roman" w:hAnsi="Times New Roman" w:eastAsia="宋体" w:cs="Times New Roman"/>
      <w:b/>
      <w:w w:val="170"/>
      <w:sz w:val="96"/>
      <w:szCs w:val="96"/>
      <w:lang w:val="en-US" w:eastAsia="zh-CN" w:bidi="ar-SA"/>
    </w:rPr>
  </w:style>
  <w:style w:type="paragraph" w:customStyle="1" w:styleId="89">
    <w:name w:val="封面标准代替信息"/>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90">
    <w:name w:val="章标题"/>
    <w:next w:val="25"/>
    <w:qFormat/>
    <w:uiPriority w:val="0"/>
    <w:pPr>
      <w:numPr>
        <w:ilvl w:val="0"/>
        <w:numId w:val="4"/>
      </w:num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91">
    <w:name w:val="终结线"/>
    <w:basedOn w:val="1"/>
    <w:qFormat/>
    <w:uiPriority w:val="0"/>
    <w:pPr>
      <w:framePr w:hSpace="181" w:vSpace="181" w:wrap="around" w:vAnchor="text" w:hAnchor="margin" w:xAlign="center" w:y="285"/>
    </w:pPr>
  </w:style>
  <w:style w:type="paragraph" w:customStyle="1" w:styleId="92">
    <w:name w:val="附录五级无"/>
    <w:basedOn w:val="93"/>
    <w:qFormat/>
    <w:uiPriority w:val="0"/>
    <w:pPr>
      <w:tabs>
        <w:tab w:val="left" w:pos="360"/>
      </w:tabs>
      <w:spacing w:before="0" w:beforeLines="0" w:after="0" w:afterLines="0"/>
    </w:pPr>
    <w:rPr>
      <w:rFonts w:ascii="宋体" w:eastAsia="宋体"/>
      <w:szCs w:val="21"/>
    </w:rPr>
  </w:style>
  <w:style w:type="paragraph" w:customStyle="1" w:styleId="93">
    <w:name w:val="附录五级条标题"/>
    <w:basedOn w:val="94"/>
    <w:next w:val="25"/>
    <w:qFormat/>
    <w:uiPriority w:val="0"/>
    <w:pPr>
      <w:numPr>
        <w:ilvl w:val="6"/>
        <w:numId w:val="3"/>
      </w:numPr>
      <w:tabs>
        <w:tab w:val="left" w:pos="360"/>
      </w:tabs>
      <w:outlineLvl w:val="6"/>
    </w:pPr>
  </w:style>
  <w:style w:type="paragraph" w:customStyle="1" w:styleId="94">
    <w:name w:val="附录四级条标题"/>
    <w:basedOn w:val="67"/>
    <w:next w:val="25"/>
    <w:qFormat/>
    <w:uiPriority w:val="0"/>
    <w:pPr>
      <w:numPr>
        <w:ilvl w:val="5"/>
        <w:numId w:val="3"/>
      </w:numPr>
      <w:outlineLvl w:val="5"/>
    </w:pPr>
  </w:style>
  <w:style w:type="paragraph" w:customStyle="1" w:styleId="95">
    <w:name w:val="四级无"/>
    <w:basedOn w:val="96"/>
    <w:qFormat/>
    <w:uiPriority w:val="0"/>
    <w:pPr>
      <w:spacing w:before="0" w:beforeLines="0" w:after="0" w:afterLines="0"/>
    </w:pPr>
    <w:rPr>
      <w:rFonts w:ascii="宋体" w:eastAsia="宋体"/>
    </w:rPr>
  </w:style>
  <w:style w:type="paragraph" w:customStyle="1" w:styleId="96">
    <w:name w:val="四级条标题"/>
    <w:basedOn w:val="97"/>
    <w:next w:val="25"/>
    <w:qFormat/>
    <w:uiPriority w:val="0"/>
    <w:pPr>
      <w:numPr>
        <w:ilvl w:val="4"/>
        <w:numId w:val="4"/>
      </w:numPr>
      <w:outlineLvl w:val="5"/>
    </w:pPr>
  </w:style>
  <w:style w:type="paragraph" w:customStyle="1" w:styleId="97">
    <w:name w:val="三级条标题"/>
    <w:basedOn w:val="70"/>
    <w:next w:val="25"/>
    <w:qFormat/>
    <w:uiPriority w:val="0"/>
    <w:pPr>
      <w:numPr>
        <w:ilvl w:val="3"/>
        <w:numId w:val="4"/>
      </w:numPr>
      <w:outlineLvl w:val="4"/>
    </w:pPr>
  </w:style>
  <w:style w:type="paragraph" w:customStyle="1" w:styleId="98">
    <w:name w:val="三级无"/>
    <w:basedOn w:val="97"/>
    <w:qFormat/>
    <w:uiPriority w:val="0"/>
    <w:pPr>
      <w:spacing w:before="0" w:beforeLines="0" w:after="0" w:afterLines="0"/>
    </w:pPr>
    <w:rPr>
      <w:rFonts w:ascii="宋体" w:eastAsia="宋体"/>
    </w:rPr>
  </w:style>
  <w:style w:type="paragraph" w:customStyle="1" w:styleId="99">
    <w:name w:val="正文表标题"/>
    <w:next w:val="25"/>
    <w:qFormat/>
    <w:uiPriority w:val="0"/>
    <w:pPr>
      <w:numPr>
        <w:ilvl w:val="0"/>
        <w:numId w:val="8"/>
      </w:num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100">
    <w:name w:val="注：（正文）"/>
    <w:basedOn w:val="101"/>
    <w:next w:val="25"/>
    <w:qFormat/>
    <w:uiPriority w:val="0"/>
  </w:style>
  <w:style w:type="paragraph" w:customStyle="1" w:styleId="101">
    <w:name w:val="注："/>
    <w:next w:val="25"/>
    <w:qFormat/>
    <w:uiPriority w:val="0"/>
    <w:pPr>
      <w:widowControl w:val="0"/>
      <w:numPr>
        <w:ilvl w:val="0"/>
        <w:numId w:val="9"/>
      </w:numPr>
      <w:autoSpaceDE w:val="0"/>
      <w:autoSpaceDN w:val="0"/>
      <w:ind w:left="363"/>
      <w:jc w:val="both"/>
    </w:pPr>
    <w:rPr>
      <w:rFonts w:ascii="宋体" w:hAnsi="Times New Roman" w:eastAsia="宋体" w:cs="Times New Roman"/>
      <w:sz w:val="18"/>
      <w:szCs w:val="18"/>
      <w:lang w:val="en-US" w:eastAsia="zh-CN" w:bidi="ar-SA"/>
    </w:rPr>
  </w:style>
  <w:style w:type="paragraph" w:customStyle="1" w:styleId="102">
    <w:name w:val="封面标准文稿类别2"/>
    <w:basedOn w:val="80"/>
    <w:qFormat/>
    <w:uiPriority w:val="0"/>
    <w:pPr>
      <w:framePr w:y="4469"/>
    </w:pPr>
  </w:style>
  <w:style w:type="paragraph" w:customStyle="1" w:styleId="103">
    <w:name w:val="附录图标号"/>
    <w:basedOn w:val="1"/>
    <w:qFormat/>
    <w:uiPriority w:val="0"/>
    <w:pPr>
      <w:keepNext/>
      <w:pageBreakBefore/>
      <w:widowControl/>
      <w:numPr>
        <w:ilvl w:val="0"/>
        <w:numId w:val="10"/>
      </w:numPr>
      <w:spacing w:line="14" w:lineRule="exact"/>
      <w:ind w:left="0" w:firstLine="363"/>
      <w:jc w:val="center"/>
      <w:outlineLvl w:val="0"/>
    </w:pPr>
    <w:rPr>
      <w:color w:val="FFFFFF"/>
    </w:rPr>
  </w:style>
  <w:style w:type="paragraph" w:customStyle="1" w:styleId="104">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05">
    <w:name w:val="数字编号列项（二级）"/>
    <w:qFormat/>
    <w:uiPriority w:val="0"/>
    <w:pPr>
      <w:numPr>
        <w:ilvl w:val="1"/>
        <w:numId w:val="7"/>
      </w:numPr>
      <w:tabs>
        <w:tab w:val="left" w:pos="1259"/>
      </w:tabs>
      <w:jc w:val="both"/>
    </w:pPr>
    <w:rPr>
      <w:rFonts w:ascii="宋体" w:hAnsi="Times New Roman" w:eastAsia="宋体" w:cs="Times New Roman"/>
      <w:sz w:val="21"/>
      <w:lang w:val="en-US" w:eastAsia="zh-CN" w:bidi="ar-SA"/>
    </w:rPr>
  </w:style>
  <w:style w:type="paragraph" w:customStyle="1" w:styleId="106">
    <w:name w:val="附录数字编号列项（二级）"/>
    <w:qFormat/>
    <w:uiPriority w:val="0"/>
    <w:pPr>
      <w:numPr>
        <w:ilvl w:val="1"/>
        <w:numId w:val="11"/>
      </w:numPr>
    </w:pPr>
    <w:rPr>
      <w:rFonts w:ascii="宋体" w:hAnsi="Times New Roman" w:eastAsia="宋体" w:cs="Times New Roman"/>
      <w:sz w:val="21"/>
      <w:lang w:val="en-US" w:eastAsia="zh-CN" w:bidi="ar-SA"/>
    </w:rPr>
  </w:style>
  <w:style w:type="paragraph" w:customStyle="1" w:styleId="107">
    <w:name w:val="实施日期"/>
    <w:basedOn w:val="73"/>
    <w:qFormat/>
    <w:uiPriority w:val="0"/>
    <w:pPr>
      <w:framePr w:vAnchor="page" w:hAnchor="page"/>
      <w:jc w:val="right"/>
    </w:pPr>
  </w:style>
  <w:style w:type="paragraph" w:customStyle="1" w:styleId="108">
    <w:name w:val="附录公式编号制表符"/>
    <w:basedOn w:val="1"/>
    <w:next w:val="25"/>
    <w:qFormat/>
    <w:uiPriority w:val="0"/>
    <w:pPr>
      <w:widowControl/>
      <w:tabs>
        <w:tab w:val="center" w:pos="4201"/>
        <w:tab w:val="right" w:leader="dot" w:pos="9298"/>
      </w:tabs>
      <w:autoSpaceDE w:val="0"/>
      <w:autoSpaceDN w:val="0"/>
    </w:pPr>
    <w:rPr>
      <w:rFonts w:ascii="宋体"/>
      <w:kern w:val="0"/>
      <w:szCs w:val="20"/>
    </w:rPr>
  </w:style>
  <w:style w:type="paragraph" w:customStyle="1" w:styleId="109">
    <w:name w:val="目次、标准名称标题"/>
    <w:basedOn w:val="1"/>
    <w:next w:val="25"/>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110">
    <w:name w:val="封面标准文稿编辑信息"/>
    <w:basedOn w:val="80"/>
    <w:qFormat/>
    <w:uiPriority w:val="0"/>
    <w:pPr>
      <w:spacing w:before="180" w:line="180" w:lineRule="exact"/>
    </w:pPr>
    <w:rPr>
      <w:sz w:val="21"/>
    </w:rPr>
  </w:style>
  <w:style w:type="paragraph" w:customStyle="1" w:styleId="111">
    <w:name w:val="WPSOffice手动目录 1"/>
    <w:qFormat/>
    <w:uiPriority w:val="0"/>
    <w:rPr>
      <w:rFonts w:ascii="Times New Roman" w:hAnsi="Times New Roman" w:eastAsia="宋体" w:cs="Times New Roman"/>
      <w:lang w:val="en-US" w:eastAsia="zh-CN" w:bidi="ar-SA"/>
    </w:rPr>
  </w:style>
  <w:style w:type="paragraph" w:customStyle="1" w:styleId="112">
    <w:name w:val="封面标准英文名称2"/>
    <w:basedOn w:val="82"/>
    <w:qFormat/>
    <w:uiPriority w:val="0"/>
    <w:pPr>
      <w:framePr w:y="4469"/>
    </w:pPr>
  </w:style>
  <w:style w:type="paragraph" w:customStyle="1" w:styleId="113">
    <w:name w:val="其他发布部门"/>
    <w:basedOn w:val="74"/>
    <w:qFormat/>
    <w:uiPriority w:val="0"/>
    <w:pPr>
      <w:framePr w:y="15310"/>
      <w:spacing w:line="0" w:lineRule="atLeast"/>
    </w:pPr>
    <w:rPr>
      <w:rFonts w:ascii="黑体" w:eastAsia="黑体"/>
      <w:b w:val="0"/>
    </w:rPr>
  </w:style>
  <w:style w:type="paragraph" w:customStyle="1" w:styleId="114">
    <w:name w:val="其他标准称谓"/>
    <w:next w:val="1"/>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115">
    <w:name w:val="附录三级无"/>
    <w:basedOn w:val="67"/>
    <w:qFormat/>
    <w:uiPriority w:val="0"/>
    <w:pPr>
      <w:tabs>
        <w:tab w:val="clear" w:pos="360"/>
      </w:tabs>
      <w:spacing w:before="0" w:beforeLines="0" w:after="0" w:afterLines="0"/>
    </w:pPr>
    <w:rPr>
      <w:rFonts w:ascii="宋体" w:eastAsia="宋体"/>
      <w:szCs w:val="21"/>
    </w:rPr>
  </w:style>
  <w:style w:type="paragraph" w:customStyle="1" w:styleId="116">
    <w:name w:val="参考文献、索引标题"/>
    <w:basedOn w:val="1"/>
    <w:next w:val="25"/>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117">
    <w:name w:val="二级无"/>
    <w:basedOn w:val="70"/>
    <w:qFormat/>
    <w:uiPriority w:val="0"/>
    <w:pPr>
      <w:spacing w:before="0" w:beforeLines="0" w:after="0" w:afterLines="0"/>
      <w:ind w:firstLine="0" w:firstLineChars="0"/>
    </w:pPr>
    <w:rPr>
      <w:rFonts w:ascii="宋体" w:hAnsi="宋体" w:eastAsia="宋体"/>
    </w:rPr>
  </w:style>
  <w:style w:type="paragraph" w:customStyle="1" w:styleId="118">
    <w:name w:val="附录字母编号列项（一级）"/>
    <w:qFormat/>
    <w:uiPriority w:val="0"/>
    <w:pPr>
      <w:numPr>
        <w:ilvl w:val="0"/>
        <w:numId w:val="11"/>
      </w:numPr>
    </w:pPr>
    <w:rPr>
      <w:rFonts w:ascii="宋体" w:hAnsi="Times New Roman" w:eastAsia="宋体" w:cs="Times New Roman"/>
      <w:sz w:val="21"/>
      <w:lang w:val="en-US" w:eastAsia="zh-CN" w:bidi="ar-SA"/>
    </w:rPr>
  </w:style>
  <w:style w:type="paragraph" w:customStyle="1" w:styleId="119">
    <w:name w:val="标准称谓"/>
    <w:next w:val="1"/>
    <w:qFormat/>
    <w:uiPriority w:val="0"/>
    <w:pPr>
      <w:framePr w:w="9639" w:h="624" w:hRule="exact" w:hSpace="181" w:vSpace="181" w:wrap="around" w:vAnchor="page" w:hAnchor="page" w:x="1419" w:y="2286" w:anchorLock="1"/>
      <w:widowControl w:val="0"/>
      <w:kinsoku w:val="0"/>
      <w:overflowPunct w:val="0"/>
      <w:autoSpaceDE w:val="0"/>
      <w:autoSpaceDN w:val="0"/>
      <w:spacing w:line="0" w:lineRule="atLeast"/>
      <w:jc w:val="distribute"/>
    </w:pPr>
    <w:rPr>
      <w:rFonts w:ascii="宋体" w:hAnsi="Times New Roman" w:eastAsia="宋体" w:cs="Times New Roman"/>
      <w:b/>
      <w:bCs/>
      <w:spacing w:val="20"/>
      <w:w w:val="148"/>
      <w:sz w:val="48"/>
      <w:lang w:val="en-US" w:eastAsia="zh-CN" w:bidi="ar-SA"/>
    </w:rPr>
  </w:style>
  <w:style w:type="paragraph" w:customStyle="1" w:styleId="120">
    <w:name w:val="列项说明"/>
    <w:basedOn w:val="1"/>
    <w:qFormat/>
    <w:uiPriority w:val="0"/>
    <w:pPr>
      <w:adjustRightInd w:val="0"/>
      <w:spacing w:line="320" w:lineRule="exact"/>
      <w:ind w:left="400" w:leftChars="200" w:hanging="200" w:hangingChars="200"/>
      <w:jc w:val="left"/>
      <w:textAlignment w:val="baseline"/>
    </w:pPr>
    <w:rPr>
      <w:rFonts w:ascii="宋体"/>
      <w:kern w:val="0"/>
      <w:szCs w:val="20"/>
    </w:rPr>
  </w:style>
  <w:style w:type="paragraph" w:customStyle="1" w:styleId="121">
    <w:name w:val="示例内容"/>
    <w:qFormat/>
    <w:uiPriority w:val="0"/>
    <w:pPr>
      <w:ind w:firstLine="200" w:firstLineChars="200"/>
    </w:pPr>
    <w:rPr>
      <w:rFonts w:ascii="宋体" w:hAnsi="Times New Roman" w:eastAsia="宋体" w:cs="Times New Roman"/>
      <w:sz w:val="18"/>
      <w:szCs w:val="18"/>
      <w:lang w:val="en-US" w:eastAsia="zh-CN" w:bidi="ar-SA"/>
    </w:rPr>
  </w:style>
  <w:style w:type="paragraph" w:customStyle="1" w:styleId="122">
    <w:name w:val="封面一致性程度标识2"/>
    <w:basedOn w:val="81"/>
    <w:qFormat/>
    <w:uiPriority w:val="0"/>
    <w:pPr>
      <w:framePr w:y="4469"/>
    </w:pPr>
  </w:style>
  <w:style w:type="paragraph" w:customStyle="1" w:styleId="123">
    <w:name w:val="附录四级无"/>
    <w:basedOn w:val="94"/>
    <w:qFormat/>
    <w:uiPriority w:val="0"/>
    <w:pPr>
      <w:tabs>
        <w:tab w:val="clear" w:pos="360"/>
      </w:tabs>
      <w:spacing w:before="0" w:beforeLines="0" w:after="0" w:afterLines="0"/>
    </w:pPr>
    <w:rPr>
      <w:rFonts w:ascii="宋体" w:eastAsia="宋体"/>
      <w:szCs w:val="21"/>
    </w:rPr>
  </w:style>
  <w:style w:type="paragraph" w:customStyle="1" w:styleId="124">
    <w:name w:val="List Paragraph"/>
    <w:basedOn w:val="1"/>
    <w:unhideWhenUsed/>
    <w:qFormat/>
    <w:uiPriority w:val="99"/>
    <w:pPr>
      <w:ind w:firstLine="420" w:firstLineChars="200"/>
    </w:pPr>
  </w:style>
  <w:style w:type="paragraph" w:customStyle="1" w:styleId="125">
    <w:name w:val="WPSOffice手动目录 2"/>
    <w:qFormat/>
    <w:uiPriority w:val="0"/>
    <w:pPr>
      <w:ind w:leftChars="200"/>
    </w:pPr>
    <w:rPr>
      <w:rFonts w:ascii="Times New Roman" w:hAnsi="Times New Roman" w:eastAsia="宋体" w:cs="Times New Roman"/>
      <w:lang w:val="en-US" w:eastAsia="zh-CN" w:bidi="ar-SA"/>
    </w:rPr>
  </w:style>
  <w:style w:type="paragraph" w:customStyle="1" w:styleId="126">
    <w:name w:val="附录图标题"/>
    <w:basedOn w:val="1"/>
    <w:next w:val="25"/>
    <w:qFormat/>
    <w:uiPriority w:val="0"/>
    <w:pPr>
      <w:numPr>
        <w:ilvl w:val="1"/>
        <w:numId w:val="10"/>
      </w:numPr>
      <w:tabs>
        <w:tab w:val="left" w:pos="363"/>
      </w:tabs>
      <w:spacing w:before="50" w:beforeLines="50" w:after="50" w:afterLines="50"/>
      <w:ind w:left="0" w:firstLine="0"/>
      <w:jc w:val="center"/>
    </w:pPr>
    <w:rPr>
      <w:rFonts w:ascii="黑体" w:eastAsia="黑体"/>
      <w:szCs w:val="21"/>
    </w:rPr>
  </w:style>
  <w:style w:type="paragraph" w:customStyle="1" w:styleId="127">
    <w:name w:val="前言、引言标题"/>
    <w:next w:val="25"/>
    <w:qFormat/>
    <w:uiPriority w:val="0"/>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28">
    <w:name w:val="图标脚注说明"/>
    <w:basedOn w:val="25"/>
    <w:qFormat/>
    <w:uiPriority w:val="0"/>
    <w:pPr>
      <w:ind w:left="840" w:hanging="420" w:firstLineChars="0"/>
    </w:pPr>
    <w:rPr>
      <w:sz w:val="18"/>
      <w:szCs w:val="18"/>
    </w:rPr>
  </w:style>
  <w:style w:type="paragraph" w:customStyle="1" w:styleId="129">
    <w:name w:val="其他实施日期"/>
    <w:basedOn w:val="107"/>
    <w:qFormat/>
    <w:uiPriority w:val="0"/>
  </w:style>
  <w:style w:type="paragraph" w:customStyle="1" w:styleId="130">
    <w:name w:val="示例×："/>
    <w:basedOn w:val="90"/>
    <w:qFormat/>
    <w:uiPriority w:val="0"/>
    <w:pPr>
      <w:numPr>
        <w:ilvl w:val="0"/>
        <w:numId w:val="12"/>
      </w:numPr>
      <w:spacing w:before="0" w:beforeLines="0" w:after="0" w:afterLines="0"/>
      <w:outlineLvl w:val="9"/>
    </w:pPr>
    <w:rPr>
      <w:rFonts w:ascii="宋体" w:eastAsia="宋体"/>
      <w:sz w:val="18"/>
      <w:szCs w:val="18"/>
    </w:rPr>
  </w:style>
  <w:style w:type="paragraph" w:customStyle="1" w:styleId="131">
    <w:name w:val="封面标准号2"/>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132">
    <w:name w:val="附录二级无"/>
    <w:basedOn w:val="68"/>
    <w:qFormat/>
    <w:uiPriority w:val="0"/>
    <w:pPr>
      <w:tabs>
        <w:tab w:val="clear" w:pos="360"/>
      </w:tabs>
      <w:spacing w:before="0" w:beforeLines="0" w:after="0" w:afterLines="0"/>
    </w:pPr>
    <w:rPr>
      <w:rFonts w:ascii="宋体" w:eastAsia="宋体"/>
      <w:szCs w:val="21"/>
    </w:rPr>
  </w:style>
  <w:style w:type="paragraph" w:customStyle="1" w:styleId="133">
    <w:name w:val="附录一级条标题"/>
    <w:basedOn w:val="134"/>
    <w:next w:val="25"/>
    <w:qFormat/>
    <w:uiPriority w:val="0"/>
    <w:pPr>
      <w:numPr>
        <w:ilvl w:val="2"/>
        <w:numId w:val="3"/>
      </w:numPr>
      <w:tabs>
        <w:tab w:val="left" w:pos="360"/>
      </w:tabs>
      <w:autoSpaceDN w:val="0"/>
      <w:spacing w:before="50" w:beforeLines="50" w:after="50" w:afterLines="50"/>
      <w:outlineLvl w:val="2"/>
    </w:pPr>
  </w:style>
  <w:style w:type="paragraph" w:customStyle="1" w:styleId="134">
    <w:name w:val="附录章标题"/>
    <w:next w:val="25"/>
    <w:qFormat/>
    <w:uiPriority w:val="0"/>
    <w:pPr>
      <w:numPr>
        <w:ilvl w:val="1"/>
        <w:numId w:val="3"/>
      </w:numPr>
      <w:tabs>
        <w:tab w:val="left" w:pos="360"/>
      </w:tabs>
      <w:wordWrap w:val="0"/>
      <w:overflowPunct w:val="0"/>
      <w:autoSpaceDE w:val="0"/>
      <w:spacing w:before="100" w:beforeLines="100" w:after="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135">
    <w:name w:val="列项◆（三级）"/>
    <w:basedOn w:val="1"/>
    <w:qFormat/>
    <w:uiPriority w:val="0"/>
    <w:pPr>
      <w:numPr>
        <w:ilvl w:val="2"/>
        <w:numId w:val="13"/>
      </w:numPr>
    </w:pPr>
    <w:rPr>
      <w:rFonts w:ascii="宋体"/>
      <w:szCs w:val="21"/>
    </w:rPr>
  </w:style>
  <w:style w:type="paragraph" w:customStyle="1" w:styleId="136">
    <w:name w:val="图表脚注说明"/>
    <w:basedOn w:val="1"/>
    <w:qFormat/>
    <w:uiPriority w:val="0"/>
    <w:pPr>
      <w:numPr>
        <w:ilvl w:val="0"/>
        <w:numId w:val="14"/>
      </w:numPr>
    </w:pPr>
    <w:rPr>
      <w:rFonts w:ascii="宋体"/>
      <w:sz w:val="18"/>
      <w:szCs w:val="18"/>
    </w:rPr>
  </w:style>
  <w:style w:type="paragraph" w:customStyle="1" w:styleId="137">
    <w:name w:val="附录表标号"/>
    <w:basedOn w:val="1"/>
    <w:next w:val="25"/>
    <w:qFormat/>
    <w:uiPriority w:val="0"/>
    <w:pPr>
      <w:numPr>
        <w:ilvl w:val="0"/>
        <w:numId w:val="15"/>
      </w:numPr>
      <w:spacing w:line="14" w:lineRule="exact"/>
      <w:ind w:left="811" w:hanging="448"/>
      <w:jc w:val="center"/>
      <w:outlineLvl w:val="0"/>
    </w:pPr>
    <w:rPr>
      <w:color w:val="FFFFFF"/>
    </w:rPr>
  </w:style>
  <w:style w:type="paragraph" w:customStyle="1" w:styleId="138">
    <w:name w:val="一级无"/>
    <w:basedOn w:val="71"/>
    <w:qFormat/>
    <w:uiPriority w:val="0"/>
    <w:pPr>
      <w:spacing w:before="0" w:beforeLines="0" w:after="0" w:afterLines="0"/>
    </w:pPr>
    <w:rPr>
      <w:rFonts w:ascii="宋体" w:eastAsia="宋体"/>
    </w:rPr>
  </w:style>
  <w:style w:type="paragraph" w:customStyle="1" w:styleId="139">
    <w:name w:val="附录表标题"/>
    <w:basedOn w:val="1"/>
    <w:next w:val="25"/>
    <w:qFormat/>
    <w:uiPriority w:val="0"/>
    <w:pPr>
      <w:numPr>
        <w:ilvl w:val="1"/>
        <w:numId w:val="15"/>
      </w:numPr>
      <w:tabs>
        <w:tab w:val="left" w:pos="180"/>
      </w:tabs>
      <w:spacing w:before="50" w:beforeLines="50" w:after="50" w:afterLines="50"/>
      <w:ind w:left="0" w:firstLine="0"/>
      <w:jc w:val="center"/>
    </w:pPr>
    <w:rPr>
      <w:rFonts w:ascii="黑体" w:eastAsia="黑体"/>
      <w:szCs w:val="21"/>
    </w:rPr>
  </w:style>
  <w:style w:type="paragraph" w:customStyle="1" w:styleId="140">
    <w:name w:val="Char1"/>
    <w:basedOn w:val="1"/>
    <w:qFormat/>
    <w:uiPriority w:val="0"/>
    <w:pPr>
      <w:spacing w:line="360" w:lineRule="auto"/>
      <w:ind w:firstLine="200" w:firstLineChars="200"/>
    </w:pPr>
  </w:style>
  <w:style w:type="paragraph" w:customStyle="1" w:styleId="141">
    <w:name w:val="文献分类号"/>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42">
    <w:name w:val="标准书眉一"/>
    <w:qFormat/>
    <w:uiPriority w:val="0"/>
    <w:pPr>
      <w:jc w:val="both"/>
    </w:pPr>
    <w:rPr>
      <w:rFonts w:ascii="Times New Roman" w:hAnsi="Times New Roman" w:eastAsia="宋体" w:cs="Times New Roman"/>
      <w:lang w:val="en-US" w:eastAsia="zh-CN" w:bidi="ar-SA"/>
    </w:rPr>
  </w:style>
  <w:style w:type="paragraph" w:customStyle="1" w:styleId="143">
    <w:name w:val="列项●（二级）"/>
    <w:qFormat/>
    <w:uiPriority w:val="0"/>
    <w:pPr>
      <w:numPr>
        <w:ilvl w:val="1"/>
        <w:numId w:val="13"/>
      </w:numPr>
      <w:tabs>
        <w:tab w:val="left" w:pos="840"/>
      </w:tabs>
      <w:jc w:val="both"/>
    </w:pPr>
    <w:rPr>
      <w:rFonts w:ascii="宋体" w:hAnsi="Times New Roman" w:eastAsia="宋体" w:cs="Times New Roman"/>
      <w:sz w:val="21"/>
      <w:lang w:val="en-US" w:eastAsia="zh-CN" w:bidi="ar-SA"/>
    </w:rPr>
  </w:style>
  <w:style w:type="paragraph" w:customStyle="1" w:styleId="144">
    <w:name w:val="示例后文字"/>
    <w:basedOn w:val="25"/>
    <w:next w:val="25"/>
    <w:qFormat/>
    <w:uiPriority w:val="0"/>
    <w:pPr>
      <w:ind w:firstLine="360"/>
    </w:pPr>
    <w:rPr>
      <w:sz w:val="18"/>
    </w:rPr>
  </w:style>
  <w:style w:type="paragraph" w:customStyle="1" w:styleId="145">
    <w:name w:val="五级条标题"/>
    <w:basedOn w:val="96"/>
    <w:next w:val="25"/>
    <w:qFormat/>
    <w:uiPriority w:val="0"/>
    <w:pPr>
      <w:numPr>
        <w:ilvl w:val="5"/>
        <w:numId w:val="4"/>
      </w:numPr>
      <w:outlineLvl w:val="6"/>
    </w:pPr>
  </w:style>
  <w:style w:type="paragraph" w:customStyle="1" w:styleId="146">
    <w:name w:val="标准书脚_偶数页"/>
    <w:qFormat/>
    <w:uiPriority w:val="0"/>
    <w:pPr>
      <w:spacing w:before="120"/>
      <w:ind w:left="221"/>
    </w:pPr>
    <w:rPr>
      <w:rFonts w:ascii="宋体" w:hAnsi="Times New Roman" w:eastAsia="宋体" w:cs="Times New Roman"/>
      <w:sz w:val="18"/>
      <w:szCs w:val="18"/>
      <w:lang w:val="en-US" w:eastAsia="zh-CN" w:bidi="ar-SA"/>
    </w:rPr>
  </w:style>
  <w:style w:type="paragraph" w:customStyle="1" w:styleId="147">
    <w:name w:val="注×："/>
    <w:qFormat/>
    <w:uiPriority w:val="0"/>
    <w:pPr>
      <w:widowControl w:val="0"/>
      <w:numPr>
        <w:ilvl w:val="0"/>
        <w:numId w:val="16"/>
      </w:numPr>
      <w:autoSpaceDE w:val="0"/>
      <w:autoSpaceDN w:val="0"/>
      <w:jc w:val="both"/>
    </w:pPr>
    <w:rPr>
      <w:rFonts w:ascii="宋体" w:hAnsi="Times New Roman" w:eastAsia="宋体" w:cs="Times New Roman"/>
      <w:sz w:val="18"/>
      <w:szCs w:val="18"/>
      <w:lang w:val="en-US" w:eastAsia="zh-CN" w:bidi="ar-SA"/>
    </w:rPr>
  </w:style>
  <w:style w:type="paragraph" w:customStyle="1" w:styleId="148">
    <w:name w:val="标准书眉_偶数页"/>
    <w:basedOn w:val="149"/>
    <w:next w:val="1"/>
    <w:qFormat/>
    <w:uiPriority w:val="0"/>
    <w:pPr>
      <w:tabs>
        <w:tab w:val="center" w:pos="4154"/>
        <w:tab w:val="right" w:pos="8306"/>
      </w:tabs>
      <w:jc w:val="left"/>
    </w:pPr>
    <w:rPr>
      <w:rFonts w:ascii="黑体" w:eastAsia="黑体"/>
    </w:rPr>
  </w:style>
  <w:style w:type="paragraph" w:customStyle="1" w:styleId="149">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150">
    <w:name w:val="封面标准文稿编辑信息2"/>
    <w:basedOn w:val="110"/>
    <w:qFormat/>
    <w:uiPriority w:val="0"/>
    <w:pPr>
      <w:framePr w:y="4469"/>
    </w:pPr>
  </w:style>
  <w:style w:type="paragraph" w:customStyle="1" w:styleId="151">
    <w:name w:val="附录标题"/>
    <w:basedOn w:val="25"/>
    <w:next w:val="25"/>
    <w:qFormat/>
    <w:uiPriority w:val="0"/>
    <w:pPr>
      <w:ind w:firstLine="0" w:firstLineChars="0"/>
      <w:jc w:val="center"/>
    </w:pPr>
    <w:rPr>
      <w:rFonts w:ascii="黑体" w:eastAsia="黑体"/>
    </w:rPr>
  </w:style>
  <w:style w:type="paragraph" w:customStyle="1" w:styleId="152">
    <w:name w:val="附录一级无"/>
    <w:basedOn w:val="133"/>
    <w:qFormat/>
    <w:uiPriority w:val="0"/>
    <w:pPr>
      <w:tabs>
        <w:tab w:val="clear" w:pos="360"/>
      </w:tabs>
      <w:spacing w:before="0" w:beforeLines="0" w:after="0" w:afterLines="0"/>
    </w:pPr>
    <w:rPr>
      <w:rFonts w:ascii="宋体" w:eastAsia="宋体"/>
      <w:szCs w:val="21"/>
    </w:rPr>
  </w:style>
  <w:style w:type="paragraph" w:customStyle="1" w:styleId="153">
    <w:name w:val="参考文献"/>
    <w:basedOn w:val="1"/>
    <w:next w:val="25"/>
    <w:qFormat/>
    <w:uiPriority w:val="0"/>
    <w:pPr>
      <w:keepNext/>
      <w:pageBreakBefore/>
      <w:widowControl/>
      <w:shd w:val="clear" w:color="FFFFFF" w:fill="FFFFFF"/>
      <w:spacing w:before="640" w:after="200"/>
      <w:jc w:val="center"/>
      <w:outlineLvl w:val="0"/>
    </w:pPr>
    <w:rPr>
      <w:rFonts w:ascii="黑体" w:eastAsia="黑体"/>
      <w:kern w:val="0"/>
      <w:szCs w:val="20"/>
    </w:rPr>
  </w:style>
  <w:style w:type="paragraph" w:customStyle="1" w:styleId="154">
    <w:name w:val="示例"/>
    <w:next w:val="121"/>
    <w:qFormat/>
    <w:uiPriority w:val="0"/>
    <w:pPr>
      <w:widowControl w:val="0"/>
      <w:numPr>
        <w:ilvl w:val="0"/>
        <w:numId w:val="17"/>
      </w:numPr>
      <w:jc w:val="both"/>
    </w:pPr>
    <w:rPr>
      <w:rFonts w:ascii="宋体" w:hAnsi="Times New Roman" w:eastAsia="宋体" w:cs="Times New Roman"/>
      <w:sz w:val="18"/>
      <w:szCs w:val="18"/>
      <w:lang w:val="en-US" w:eastAsia="zh-CN" w:bidi="ar-SA"/>
    </w:rPr>
  </w:style>
  <w:style w:type="paragraph" w:customStyle="1" w:styleId="155">
    <w:name w:val="正文公式编号制表符"/>
    <w:basedOn w:val="25"/>
    <w:next w:val="25"/>
    <w:qFormat/>
    <w:uiPriority w:val="0"/>
    <w:pPr>
      <w:ind w:firstLine="0" w:firstLineChars="0"/>
    </w:pPr>
  </w:style>
  <w:style w:type="paragraph" w:customStyle="1" w:styleId="156">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157">
    <w:name w:val="列项——（一级）"/>
    <w:qFormat/>
    <w:uiPriority w:val="0"/>
    <w:pPr>
      <w:widowControl w:val="0"/>
      <w:numPr>
        <w:ilvl w:val="0"/>
        <w:numId w:val="13"/>
      </w:numPr>
      <w:jc w:val="both"/>
    </w:pPr>
    <w:rPr>
      <w:rFonts w:ascii="宋体" w:hAnsi="Times New Roman" w:eastAsia="宋体" w:cs="Times New Roman"/>
      <w:sz w:val="21"/>
      <w:lang w:val="en-US" w:eastAsia="zh-CN" w:bidi="ar-SA"/>
    </w:rPr>
  </w:style>
  <w:style w:type="paragraph" w:customStyle="1" w:styleId="158">
    <w:name w:val="五级无"/>
    <w:basedOn w:val="145"/>
    <w:qFormat/>
    <w:uiPriority w:val="0"/>
    <w:pPr>
      <w:spacing w:before="0" w:beforeLines="0" w:after="0" w:afterLines="0"/>
    </w:pPr>
    <w:rPr>
      <w:rFonts w:ascii="宋体" w:eastAsia="宋体"/>
    </w:rPr>
  </w:style>
  <w:style w:type="paragraph" w:customStyle="1" w:styleId="159">
    <w:name w:val="图的脚注"/>
    <w:next w:val="25"/>
    <w:qFormat/>
    <w:uiPriority w:val="0"/>
    <w:pPr>
      <w:widowControl w:val="0"/>
      <w:ind w:left="840" w:leftChars="200" w:hanging="420" w:hangingChars="200"/>
      <w:jc w:val="both"/>
    </w:pPr>
    <w:rPr>
      <w:rFonts w:ascii="宋体" w:hAnsi="Times New Roman" w:eastAsia="宋体" w:cs="Times New Roman"/>
      <w:sz w:val="18"/>
      <w:lang w:val="en-US" w:eastAsia="zh-CN" w:bidi="ar-SA"/>
    </w:rPr>
  </w:style>
  <w:style w:type="paragraph" w:customStyle="1" w:styleId="160">
    <w:name w:val="列项说明数字编号"/>
    <w:qFormat/>
    <w:uiPriority w:val="0"/>
    <w:pPr>
      <w:ind w:left="600" w:leftChars="400" w:hanging="200" w:hangingChars="200"/>
    </w:pPr>
    <w:rPr>
      <w:rFonts w:ascii="宋体" w:hAnsi="Times New Roman" w:eastAsia="宋体" w:cs="Times New Roman"/>
      <w:sz w:val="21"/>
      <w:lang w:val="en-US" w:eastAsia="zh-CN"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48.wmf"/><Relationship Id="rId98" Type="http://schemas.openxmlformats.org/officeDocument/2006/relationships/oleObject" Target="embeddings/oleObject40.bin"/><Relationship Id="rId97" Type="http://schemas.openxmlformats.org/officeDocument/2006/relationships/image" Target="media/image47.wmf"/><Relationship Id="rId96" Type="http://schemas.openxmlformats.org/officeDocument/2006/relationships/oleObject" Target="embeddings/oleObject39.bin"/><Relationship Id="rId95" Type="http://schemas.openxmlformats.org/officeDocument/2006/relationships/image" Target="media/image46.png"/><Relationship Id="rId94" Type="http://schemas.openxmlformats.org/officeDocument/2006/relationships/image" Target="media/image45.png"/><Relationship Id="rId93" Type="http://schemas.openxmlformats.org/officeDocument/2006/relationships/image" Target="media/image44.png"/><Relationship Id="rId92" Type="http://schemas.openxmlformats.org/officeDocument/2006/relationships/image" Target="media/image43.wmf"/><Relationship Id="rId91" Type="http://schemas.openxmlformats.org/officeDocument/2006/relationships/oleObject" Target="embeddings/oleObject38.bin"/><Relationship Id="rId90" Type="http://schemas.openxmlformats.org/officeDocument/2006/relationships/image" Target="media/image42.wmf"/><Relationship Id="rId9" Type="http://schemas.openxmlformats.org/officeDocument/2006/relationships/header" Target="header4.xml"/><Relationship Id="rId89" Type="http://schemas.openxmlformats.org/officeDocument/2006/relationships/oleObject" Target="embeddings/oleObject37.bin"/><Relationship Id="rId88" Type="http://schemas.openxmlformats.org/officeDocument/2006/relationships/image" Target="media/image41.wmf"/><Relationship Id="rId87" Type="http://schemas.openxmlformats.org/officeDocument/2006/relationships/oleObject" Target="embeddings/oleObject36.bin"/><Relationship Id="rId86" Type="http://schemas.openxmlformats.org/officeDocument/2006/relationships/image" Target="media/image40.wmf"/><Relationship Id="rId85" Type="http://schemas.openxmlformats.org/officeDocument/2006/relationships/image" Target="media/image39.wmf"/><Relationship Id="rId84" Type="http://schemas.openxmlformats.org/officeDocument/2006/relationships/image" Target="media/image38.wmf"/><Relationship Id="rId83" Type="http://schemas.openxmlformats.org/officeDocument/2006/relationships/image" Target="media/image37.wmf"/><Relationship Id="rId82" Type="http://schemas.openxmlformats.org/officeDocument/2006/relationships/image" Target="media/image36.wmf"/><Relationship Id="rId81" Type="http://schemas.openxmlformats.org/officeDocument/2006/relationships/oleObject" Target="embeddings/oleObject35.bin"/><Relationship Id="rId80" Type="http://schemas.openxmlformats.org/officeDocument/2006/relationships/image" Target="media/image35.wmf"/><Relationship Id="rId8" Type="http://schemas.openxmlformats.org/officeDocument/2006/relationships/footer" Target="footer3.xml"/><Relationship Id="rId79" Type="http://schemas.openxmlformats.org/officeDocument/2006/relationships/oleObject" Target="embeddings/oleObject34.bin"/><Relationship Id="rId78" Type="http://schemas.openxmlformats.org/officeDocument/2006/relationships/image" Target="media/image34.wmf"/><Relationship Id="rId77" Type="http://schemas.openxmlformats.org/officeDocument/2006/relationships/oleObject" Target="embeddings/oleObject33.bin"/><Relationship Id="rId76" Type="http://schemas.openxmlformats.org/officeDocument/2006/relationships/image" Target="media/image33.wmf"/><Relationship Id="rId75" Type="http://schemas.openxmlformats.org/officeDocument/2006/relationships/oleObject" Target="embeddings/oleObject32.bin"/><Relationship Id="rId74" Type="http://schemas.openxmlformats.org/officeDocument/2006/relationships/image" Target="media/image32.wmf"/><Relationship Id="rId73" Type="http://schemas.openxmlformats.org/officeDocument/2006/relationships/oleObject" Target="embeddings/oleObject31.bin"/><Relationship Id="rId72" Type="http://schemas.openxmlformats.org/officeDocument/2006/relationships/image" Target="media/image31.wmf"/><Relationship Id="rId71" Type="http://schemas.openxmlformats.org/officeDocument/2006/relationships/oleObject" Target="embeddings/oleObject30.bin"/><Relationship Id="rId70" Type="http://schemas.openxmlformats.org/officeDocument/2006/relationships/image" Target="media/image30.wmf"/><Relationship Id="rId7" Type="http://schemas.openxmlformats.org/officeDocument/2006/relationships/footer" Target="footer2.xml"/><Relationship Id="rId69" Type="http://schemas.openxmlformats.org/officeDocument/2006/relationships/oleObject" Target="embeddings/oleObject29.bin"/><Relationship Id="rId68" Type="http://schemas.openxmlformats.org/officeDocument/2006/relationships/image" Target="media/image29.wmf"/><Relationship Id="rId67" Type="http://schemas.openxmlformats.org/officeDocument/2006/relationships/oleObject" Target="embeddings/oleObject28.bin"/><Relationship Id="rId66" Type="http://schemas.openxmlformats.org/officeDocument/2006/relationships/image" Target="media/image28.wmf"/><Relationship Id="rId65" Type="http://schemas.openxmlformats.org/officeDocument/2006/relationships/oleObject" Target="embeddings/oleObject27.bin"/><Relationship Id="rId64" Type="http://schemas.openxmlformats.org/officeDocument/2006/relationships/image" Target="media/image27.wmf"/><Relationship Id="rId63" Type="http://schemas.openxmlformats.org/officeDocument/2006/relationships/oleObject" Target="embeddings/oleObject26.bin"/><Relationship Id="rId62" Type="http://schemas.openxmlformats.org/officeDocument/2006/relationships/image" Target="media/image26.wmf"/><Relationship Id="rId61" Type="http://schemas.openxmlformats.org/officeDocument/2006/relationships/oleObject" Target="embeddings/oleObject25.bin"/><Relationship Id="rId60" Type="http://schemas.openxmlformats.org/officeDocument/2006/relationships/image" Target="media/image25.wmf"/><Relationship Id="rId6" Type="http://schemas.openxmlformats.org/officeDocument/2006/relationships/footer" Target="footer1.xml"/><Relationship Id="rId59" Type="http://schemas.openxmlformats.org/officeDocument/2006/relationships/oleObject" Target="embeddings/oleObject24.bin"/><Relationship Id="rId58" Type="http://schemas.openxmlformats.org/officeDocument/2006/relationships/image" Target="media/image24.wmf"/><Relationship Id="rId57" Type="http://schemas.openxmlformats.org/officeDocument/2006/relationships/oleObject" Target="embeddings/oleObject23.bin"/><Relationship Id="rId56" Type="http://schemas.openxmlformats.org/officeDocument/2006/relationships/image" Target="media/image23.wmf"/><Relationship Id="rId55" Type="http://schemas.openxmlformats.org/officeDocument/2006/relationships/oleObject" Target="embeddings/oleObject22.bin"/><Relationship Id="rId54" Type="http://schemas.openxmlformats.org/officeDocument/2006/relationships/image" Target="media/image22.wmf"/><Relationship Id="rId53" Type="http://schemas.openxmlformats.org/officeDocument/2006/relationships/oleObject" Target="embeddings/oleObject21.bin"/><Relationship Id="rId52" Type="http://schemas.openxmlformats.org/officeDocument/2006/relationships/image" Target="media/image21.wmf"/><Relationship Id="rId51" Type="http://schemas.openxmlformats.org/officeDocument/2006/relationships/oleObject" Target="embeddings/oleObject20.bin"/><Relationship Id="rId50" Type="http://schemas.openxmlformats.org/officeDocument/2006/relationships/image" Target="media/image20.wmf"/><Relationship Id="rId5" Type="http://schemas.openxmlformats.org/officeDocument/2006/relationships/header" Target="header3.xml"/><Relationship Id="rId49" Type="http://schemas.openxmlformats.org/officeDocument/2006/relationships/oleObject" Target="embeddings/oleObject19.bin"/><Relationship Id="rId48" Type="http://schemas.openxmlformats.org/officeDocument/2006/relationships/image" Target="media/image19.emf"/><Relationship Id="rId47" Type="http://schemas.openxmlformats.org/officeDocument/2006/relationships/image" Target="media/image18.wmf"/><Relationship Id="rId46" Type="http://schemas.openxmlformats.org/officeDocument/2006/relationships/oleObject" Target="embeddings/oleObject18.bin"/><Relationship Id="rId45" Type="http://schemas.openxmlformats.org/officeDocument/2006/relationships/image" Target="media/image17.wmf"/><Relationship Id="rId44" Type="http://schemas.openxmlformats.org/officeDocument/2006/relationships/oleObject" Target="embeddings/oleObject17.bin"/><Relationship Id="rId43" Type="http://schemas.openxmlformats.org/officeDocument/2006/relationships/image" Target="media/image16.wmf"/><Relationship Id="rId42" Type="http://schemas.openxmlformats.org/officeDocument/2006/relationships/oleObject" Target="embeddings/oleObject16.bin"/><Relationship Id="rId41" Type="http://schemas.openxmlformats.org/officeDocument/2006/relationships/image" Target="media/image15.emf"/><Relationship Id="rId40" Type="http://schemas.openxmlformats.org/officeDocument/2006/relationships/oleObject" Target="embeddings/oleObject15.bin"/><Relationship Id="rId4" Type="http://schemas.openxmlformats.org/officeDocument/2006/relationships/header" Target="header2.xml"/><Relationship Id="rId39" Type="http://schemas.openxmlformats.org/officeDocument/2006/relationships/image" Target="media/image14.emf"/><Relationship Id="rId38" Type="http://schemas.openxmlformats.org/officeDocument/2006/relationships/oleObject" Target="embeddings/oleObject14.bin"/><Relationship Id="rId37" Type="http://schemas.openxmlformats.org/officeDocument/2006/relationships/image" Target="media/image13.emf"/><Relationship Id="rId36" Type="http://schemas.openxmlformats.org/officeDocument/2006/relationships/oleObject" Target="embeddings/oleObject13.bin"/><Relationship Id="rId35" Type="http://schemas.openxmlformats.org/officeDocument/2006/relationships/image" Target="media/image12.wmf"/><Relationship Id="rId34" Type="http://schemas.openxmlformats.org/officeDocument/2006/relationships/oleObject" Target="embeddings/oleObject12.bin"/><Relationship Id="rId33" Type="http://schemas.openxmlformats.org/officeDocument/2006/relationships/image" Target="media/image11.wmf"/><Relationship Id="rId32" Type="http://schemas.openxmlformats.org/officeDocument/2006/relationships/oleObject" Target="embeddings/oleObject11.bin"/><Relationship Id="rId31" Type="http://schemas.openxmlformats.org/officeDocument/2006/relationships/image" Target="media/image10.wmf"/><Relationship Id="rId30" Type="http://schemas.openxmlformats.org/officeDocument/2006/relationships/oleObject" Target="embeddings/oleObject10.bin"/><Relationship Id="rId3" Type="http://schemas.openxmlformats.org/officeDocument/2006/relationships/header" Target="header1.xml"/><Relationship Id="rId29" Type="http://schemas.openxmlformats.org/officeDocument/2006/relationships/image" Target="media/image9.wmf"/><Relationship Id="rId28" Type="http://schemas.openxmlformats.org/officeDocument/2006/relationships/oleObject" Target="embeddings/oleObject9.bin"/><Relationship Id="rId27" Type="http://schemas.openxmlformats.org/officeDocument/2006/relationships/image" Target="media/image8.wmf"/><Relationship Id="rId26" Type="http://schemas.openxmlformats.org/officeDocument/2006/relationships/oleObject" Target="embeddings/oleObject8.bin"/><Relationship Id="rId25" Type="http://schemas.openxmlformats.org/officeDocument/2006/relationships/image" Target="media/image7.wmf"/><Relationship Id="rId24" Type="http://schemas.openxmlformats.org/officeDocument/2006/relationships/oleObject" Target="embeddings/oleObject7.bin"/><Relationship Id="rId23" Type="http://schemas.openxmlformats.org/officeDocument/2006/relationships/image" Target="media/image6.wmf"/><Relationship Id="rId22" Type="http://schemas.openxmlformats.org/officeDocument/2006/relationships/oleObject" Target="embeddings/oleObject6.bin"/><Relationship Id="rId21" Type="http://schemas.openxmlformats.org/officeDocument/2006/relationships/image" Target="media/image5.wmf"/><Relationship Id="rId20" Type="http://schemas.openxmlformats.org/officeDocument/2006/relationships/oleObject" Target="embeddings/oleObject5.bin"/><Relationship Id="rId2" Type="http://schemas.openxmlformats.org/officeDocument/2006/relationships/settings" Target="settings.xml"/><Relationship Id="rId19" Type="http://schemas.openxmlformats.org/officeDocument/2006/relationships/image" Target="media/image4.wmf"/><Relationship Id="rId18" Type="http://schemas.openxmlformats.org/officeDocument/2006/relationships/oleObject" Target="embeddings/oleObject4.bin"/><Relationship Id="rId17" Type="http://schemas.openxmlformats.org/officeDocument/2006/relationships/image" Target="media/image3.wmf"/><Relationship Id="rId16" Type="http://schemas.openxmlformats.org/officeDocument/2006/relationships/oleObject" Target="embeddings/oleObject3.bin"/><Relationship Id="rId15" Type="http://schemas.openxmlformats.org/officeDocument/2006/relationships/image" Target="media/image2.wmf"/><Relationship Id="rId14" Type="http://schemas.openxmlformats.org/officeDocument/2006/relationships/oleObject" Target="embeddings/oleObject2.bin"/><Relationship Id="rId13" Type="http://schemas.openxmlformats.org/officeDocument/2006/relationships/image" Target="media/image1.wmf"/><Relationship Id="rId12" Type="http://schemas.openxmlformats.org/officeDocument/2006/relationships/oleObject" Target="embeddings/oleObject1.bin"/><Relationship Id="rId110" Type="http://schemas.openxmlformats.org/officeDocument/2006/relationships/fontTable" Target="fontTable.xml"/><Relationship Id="rId11" Type="http://schemas.openxmlformats.org/officeDocument/2006/relationships/theme" Target="theme/theme1.xml"/><Relationship Id="rId109" Type="http://schemas.microsoft.com/office/2006/relationships/keyMapCustomizations" Target="customizations.xml"/><Relationship Id="rId108" Type="http://schemas.openxmlformats.org/officeDocument/2006/relationships/numbering" Target="numbering.xml"/><Relationship Id="rId107" Type="http://schemas.openxmlformats.org/officeDocument/2006/relationships/customXml" Target="../customXml/item1.xml"/><Relationship Id="rId106" Type="http://schemas.openxmlformats.org/officeDocument/2006/relationships/image" Target="media/image52.png"/><Relationship Id="rId105" Type="http://schemas.openxmlformats.org/officeDocument/2006/relationships/image" Target="media/image51.wmf"/><Relationship Id="rId104" Type="http://schemas.openxmlformats.org/officeDocument/2006/relationships/oleObject" Target="embeddings/oleObject43.bin"/><Relationship Id="rId103" Type="http://schemas.openxmlformats.org/officeDocument/2006/relationships/image" Target="media/image50.wmf"/><Relationship Id="rId102" Type="http://schemas.openxmlformats.org/officeDocument/2006/relationships/oleObject" Target="embeddings/oleObject42.bin"/><Relationship Id="rId101" Type="http://schemas.openxmlformats.org/officeDocument/2006/relationships/image" Target="media/image49.wmf"/><Relationship Id="rId100" Type="http://schemas.openxmlformats.org/officeDocument/2006/relationships/oleObject" Target="embeddings/oleObject41.bin"/><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4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zle</Company>
  <Pages>54</Pages>
  <Words>18283</Words>
  <Characters>20303</Characters>
  <Lines>495</Lines>
  <Paragraphs>139</Paragraphs>
  <TotalTime>0</TotalTime>
  <ScaleCrop>false</ScaleCrop>
  <LinksUpToDate>false</LinksUpToDate>
  <CharactersWithSpaces>21350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2018-08-15T15:59:00Z</dcterms:created>
  <dc:creator>CNIS</dc:creator>
  <cp:lastModifiedBy>下个路口见</cp:lastModifiedBy>
  <cp:lastPrinted>2026-03-10T02:07:00Z</cp:lastPrinted>
  <dcterms:modified xsi:type="dcterms:W3CDTF">2026-03-23T08:18:20Z</dcterms:modified>
  <dc:title>标准名称</dc:title>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B9E00DC9FF5A4E28B5D8186E19834AA6_13</vt:lpwstr>
  </property>
  <property fmtid="{D5CDD505-2E9C-101B-9397-08002B2CF9AE}" pid="4" name="KSOTemplateDocerSaveRecord">
    <vt:lpwstr>eyJoZGlkIjoiZjVhYzRjNDVkZmIxOGZhODM1NTk0ZjFlZWRlNGI1M2YiLCJ1c2VySWQiOiIyNzQ3NDI2NDEifQ==</vt:lpwstr>
  </property>
</Properties>
</file>